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Мониторинг  </w:t>
      </w:r>
      <w:r>
        <w:rPr>
          <w:rFonts w:ascii="Times New Roman" w:hAnsi="Times New Roman"/>
        </w:rPr>
        <w:t xml:space="preserve">(сводная справка)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мероприятий,  направленных на развитие промышленного потенциала </w:t>
      </w:r>
    </w:p>
    <w:p>
      <w:pPr>
        <w:pStyle w:val="BodyTextFirstInden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Тяжинского муниципального округа на 2025-2027 года </w:t>
      </w:r>
      <w:r>
        <w:rPr>
          <w:rFonts w:ascii="Times New Roman" w:hAnsi="Times New Roman"/>
        </w:rPr>
        <w:t>за 1 квартал 2026 года</w:t>
      </w:r>
    </w:p>
    <w:tbl>
      <w:tblPr>
        <w:tblW w:w="1503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855"/>
        <w:gridCol w:w="4815"/>
        <w:gridCol w:w="2325"/>
        <w:gridCol w:w="3240"/>
        <w:gridCol w:w="3795"/>
      </w:tblGrid>
      <w:tr>
        <w:trPr/>
        <w:tc>
          <w:tcPr>
            <w:tcW w:w="855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>№</w:t>
            </w:r>
            <w:r>
              <w:rPr/>
              <w:t xml:space="preserve">п/п </w:t>
            </w:r>
          </w:p>
        </w:tc>
        <w:tc>
          <w:tcPr>
            <w:tcW w:w="4815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 xml:space="preserve">Наименование мероприятия 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 xml:space="preserve">Сроки исполнения 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>Ответственный исполнитель</w:t>
            </w:r>
          </w:p>
        </w:tc>
        <w:tc>
          <w:tcPr>
            <w:tcW w:w="37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 xml:space="preserve"> </w:t>
            </w:r>
            <w:r>
              <w:rPr/>
              <w:t>Р</w:t>
            </w:r>
            <w:r>
              <w:rPr/>
              <w:t>езультаты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>1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>2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>3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>4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rPr/>
            </w:pPr>
            <w:r>
              <w:rPr/>
              <w:t>5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4175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Привлечение финансовых инструментов государственной поддержки в целях модернизации и развития промышленных предприятий, осуществляющих деятельность </w:t>
            </w:r>
            <w:r>
              <w:rPr>
                <w:rFonts w:ascii="Times New Roman" w:hAnsi="Times New Roman"/>
              </w:rPr>
              <w:t>в Тяжинском муниципальном округе</w:t>
            </w:r>
          </w:p>
        </w:tc>
      </w:tr>
      <w:tr>
        <w:trPr>
          <w:trHeight w:val="690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>
                <w:rFonts w:ascii="Times New Roman" w:hAnsi="Times New Roman"/>
              </w:rPr>
              <w:t xml:space="preserve">Организация участия промышленных предприятий, осуществляющих деятельность на территории муниципального образования (далее – промышленные предприятия), в получении федеральных, региональных мер государственной поддержки (Фонд развития промышленности, государственная программа Российской Федерации «Развитие промышленности и повышение её конкурентоспособности»,  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государственн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ая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 xml:space="preserve"> </w:t>
            </w:r>
            <w:hyperlink r:id="rId2">
              <w:r>
                <w:rPr>
                  <w:rStyle w:val="Hyperlink"/>
                  <w:rFonts w:ascii="Times New Roman" w:hAnsi="Times New Roman"/>
                  <w:b w:val="false"/>
                  <w:i w:val="false"/>
                  <w:strike w:val="false"/>
                  <w:dstrike w:val="false"/>
                  <w:color w:val="000000"/>
                  <w:sz w:val="28"/>
                  <w:szCs w:val="28"/>
                  <w:u w:val="none"/>
                </w:rPr>
                <w:t>программ</w:t>
              </w:r>
            </w:hyperlink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 xml:space="preserve"> Кемеровской области - Кузбасса "Развитие промышленности Кузбасса",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утвержденная постановлением Правительства  Кемеровской области — Кузбасса от 12.12.2023 №821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     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>
                <w:rFonts w:ascii="Times New Roman" w:hAnsi="Times New Roman"/>
              </w:rPr>
              <w:t xml:space="preserve">сектор  «Центр содействия малому и среднему бизнесу» отдела экономического анализа и прогнозирования администрации Тяжинского муниципального округа, </w:t>
            </w:r>
            <w:r>
              <w:rPr>
                <w:rFonts w:ascii="Times New Roman" w:hAnsi="Times New Roman"/>
              </w:rPr>
              <w:t>промышленные предприятия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промышленных предприятий: </w:t>
            </w:r>
            <w:r>
              <w:rPr>
                <w:rFonts w:ascii="Times New Roman" w:hAnsi="Times New Roman"/>
              </w:rPr>
              <w:t>ООО «Кузбассконсервмолоко»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через </w:t>
            </w:r>
            <w:r>
              <w:rPr>
                <w:rFonts w:ascii="Times New Roman" w:hAnsi="Times New Roman"/>
              </w:rPr>
              <w:t xml:space="preserve">направление </w:t>
            </w: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  <w:t xml:space="preserve">информационных писем. 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>
                <w:color w:val="000000"/>
              </w:rPr>
            </w:pPr>
            <w:r>
              <w:rPr>
                <w:color w:val="000000"/>
              </w:rPr>
              <w:t>Содействие в организации участия промышленных предприятий в федеральном проекте «Производительность труда»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>
                <w:rFonts w:ascii="Times New Roman" w:hAnsi="Times New Roman"/>
              </w:rPr>
              <w:t xml:space="preserve">сектор  «Центр содействия малому и среднему бизнесу» отдела экономического анализа и прогнозирования администрации Тяжинского муниципального округа, </w:t>
            </w:r>
            <w:r>
              <w:rPr>
                <w:rFonts w:ascii="Times New Roman" w:hAnsi="Times New Roman"/>
              </w:rPr>
              <w:t>промышленные предприятия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промышленных предприятий -</w:t>
            </w:r>
            <w:r>
              <w:rPr>
                <w:rFonts w:ascii="Times New Roman" w:hAnsi="Times New Roman"/>
              </w:rPr>
              <w:t xml:space="preserve">потенциальных участников федерального проекта «Производительность труда» </w:t>
            </w:r>
            <w:r>
              <w:rPr>
                <w:rFonts w:ascii="Times New Roman" w:hAnsi="Times New Roman"/>
              </w:rPr>
              <w:t xml:space="preserve">через направления информационных писем. А также размещения информации на официальном сайте администрации Тяжинского муниципального округа: </w:t>
            </w:r>
            <w:hyperlink r:id="rId3">
              <w:r>
                <w:rPr>
                  <w:rStyle w:val="Hyperlink"/>
                  <w:rFonts w:ascii="Times New Roman" w:hAnsi="Times New Roman"/>
                </w:rPr>
                <w:t>https://www.tyazhin.ru/news/ehffektivnost_raboty_regionalnogo_centra_kompetencij_v_kuzbasse_ocenili_federalnye_ehksperty/2026-04-17-24917;https://www.tyazhin.ru/news/bolee_250_sotrudnikov_kuzbasskikh_kompanij_projdut_obuchenie_na_fabrikakh_processov_v_2026_godu/2026-03-23-24702</w:t>
              </w:r>
            </w:hyperlink>
            <w:r>
              <w:rPr>
                <w:rFonts w:ascii="Times New Roman" w:hAnsi="Times New Roman"/>
              </w:rPr>
              <w:t xml:space="preserve">; </w:t>
            </w:r>
            <w:hyperlink r:id="rId4">
              <w:r>
                <w:rPr>
                  <w:rStyle w:val="Hyperlink"/>
                  <w:rFonts w:ascii="Times New Roman" w:hAnsi="Times New Roman"/>
                </w:rPr>
                <w:t>https://www.tyazhin.ru/news/novokuzneckij_gruzoperevozchik_povysit_ehffektivnost_raboty_s_pomoshhju_nacproekta/2026-02-19-24476</w:t>
              </w:r>
            </w:hyperlink>
            <w:r>
              <w:rPr>
                <w:rFonts w:ascii="Times New Roman" w:hAnsi="Times New Roman"/>
              </w:rPr>
              <w:t xml:space="preserve">; </w:t>
            </w:r>
            <w:hyperlink r:id="rId5">
              <w:r>
                <w:rPr>
                  <w:rStyle w:val="Hyperlink"/>
                  <w:rFonts w:ascii="Times New Roman" w:hAnsi="Times New Roman"/>
                </w:rPr>
                <w:t>https://www.tyazhin.ru/news/minehkonomrazvitija_rossii_v_2026_godu_napravit_na_lgotnye_zajmy_v_kuzbasskij_monogorod_30_mln_rublej/2026-02-09-24395;https://www.tyazhin.ru/news/kemerovskaja_kompanija_po_proizvodstvu_bumagi_i_kartona_iz_vtorsyrja_vnedrjaet_berezhlivye_tekhnologii/2026-02-02-24347</w:t>
              </w:r>
            </w:hyperlink>
            <w:r>
              <w:rPr>
                <w:rFonts w:ascii="Times New Roman" w:hAnsi="Times New Roman"/>
              </w:rPr>
              <w:t xml:space="preserve">;   </w:t>
            </w:r>
            <w:hyperlink r:id="rId6">
              <w:r>
                <w:rPr>
                  <w:rStyle w:val="Hyperlink"/>
                  <w:rFonts w:ascii="Times New Roman" w:hAnsi="Times New Roman"/>
                </w:rPr>
                <w:t>https://www.tyazhin.ru/news/k_federalnomu_proektu_proizvoditelnost_truda_prisoedinilas_eshhe_odna_kuzbasskaja_kompanija/2026-01-23-24299</w:t>
              </w:r>
            </w:hyperlink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175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привлечению инвестиций в промышленный комплекс и сопровождению инвестиционных проектов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Подготовка инвестиционных предложений в сфере обрабатывающего производства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отдел экономического анализа и прогнозирования, отдел архитектуры и градостроительства администрации Тяжинского муниципального округа.</w:t>
            </w:r>
          </w:p>
          <w:p>
            <w:pPr>
              <w:pStyle w:val="Style37"/>
              <w:jc w:val="both"/>
              <w:rPr/>
            </w:pPr>
            <w:r>
              <w:rPr/>
              <w:t>Комитет по управлению муниципальным имуществом Тяжинского муниципального округа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</w:t>
            </w:r>
            <w:r>
              <w:rPr>
                <w:rFonts w:ascii="Times New Roman" w:hAnsi="Times New Roman"/>
              </w:rPr>
              <w:t xml:space="preserve">о наличии </w:t>
            </w:r>
            <w:r>
              <w:rPr>
                <w:rFonts w:ascii="Times New Roman" w:hAnsi="Times New Roman"/>
              </w:rPr>
              <w:t xml:space="preserve"> инвестиционных площадок (с учетом их характеристик, </w:t>
            </w:r>
            <w:r>
              <w:rPr>
                <w:rFonts w:ascii="Times New Roman" w:hAnsi="Times New Roman"/>
              </w:rPr>
              <w:t xml:space="preserve">при поступлении обращений). Обновление информации во вкладке «Инвестору» на официальном сайте администрации Тяжинского муниципального округа </w:t>
            </w:r>
            <w:hyperlink r:id="rId7">
              <w:r>
                <w:rPr>
                  <w:rStyle w:val="Hyperlink"/>
                  <w:rFonts w:ascii="Times New Roman" w:hAnsi="Times New Roman"/>
                </w:rPr>
                <w:t>https://www.tyazhin.ru/index/investicii/0-710</w:t>
              </w:r>
            </w:hyperlink>
            <w:r>
              <w:rPr>
                <w:rFonts w:ascii="Times New Roman" w:hAnsi="Times New Roman"/>
              </w:rPr>
              <w:t xml:space="preserve"> .  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 xml:space="preserve">Участие в выставочных и конгрессно-ярмарочных мероприятиях в целях привлечения инвестиций 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center"/>
              <w:rPr/>
            </w:pPr>
            <w:r>
              <w:rPr>
                <w:rFonts w:ascii="Times New Roman" w:hAnsi="Times New Roman"/>
              </w:rPr>
              <w:t>промышленные предприятия</w:t>
            </w:r>
            <w:r>
              <w:rPr/>
              <w:t xml:space="preserve"> 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генерального директора ООО «Кузбассконсервмолоко» в VII специализированной Конференции «Производители и ритейл» на пленарном заседании  (23.04.2026г.)  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2.3. 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Продвижение инвестиционного потенциала Тяжинского муниципального округа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 xml:space="preserve"> </w:t>
            </w:r>
            <w:r>
              <w:rPr>
                <w:rFonts w:ascii="Times New Roman" w:hAnsi="Times New Roman"/>
              </w:rPr>
              <w:t>Совет по улучшению инвестиционного климата при главе Тяжинского муниципального округа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инвестиционного профиля и паспорта Тяжинского муниципального округа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 xml:space="preserve">Проведение рабочих встреч с потенциальными инвесторами по вопросам реализации инвестиционных проектов в сфере промышленности 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center"/>
              <w:rPr/>
            </w:pPr>
            <w:r>
              <w:rPr>
                <w:rFonts w:ascii="Times New Roman" w:hAnsi="Times New Roman"/>
              </w:rPr>
              <w:t xml:space="preserve">Совет по улучшению инвестиционного климата при главе Тяжинского муниципального округа, </w:t>
            </w:r>
            <w:r>
              <w:rPr>
                <w:rFonts w:ascii="Times New Roman" w:hAnsi="Times New Roman"/>
              </w:rPr>
              <w:t xml:space="preserve">отдел экономического анализа и прогнозирования 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 </w:t>
            </w:r>
            <w:r>
              <w:rPr>
                <w:rFonts w:ascii="Times New Roman" w:hAnsi="Times New Roman"/>
              </w:rPr>
              <w:t xml:space="preserve">встреч, совещаний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потенциальны</w:t>
            </w:r>
            <w:r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 xml:space="preserve"> инвестор</w:t>
            </w:r>
            <w:r>
              <w:rPr>
                <w:rFonts w:ascii="Times New Roman" w:hAnsi="Times New Roman"/>
              </w:rPr>
              <w:t>ами не осуществлял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сь. </w:t>
            </w:r>
          </w:p>
        </w:tc>
      </w:tr>
      <w:tr>
        <w:trPr/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14175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center"/>
              <w:rPr/>
            </w:pPr>
            <w:r>
              <w:rPr/>
              <w:t>Продвижение продукции, производимой промышленными предприятиями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/>
            </w:pPr>
            <w:r>
              <w:rPr/>
              <w:t>Содействие в организации участия промышленных предприятий в конрессно-выставочных, презентационных мероприятиях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экономического анализа и прогнозирования 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промышленных предприятий </w:t>
            </w:r>
            <w:r>
              <w:rPr>
                <w:rFonts w:ascii="Times New Roman" w:hAnsi="Times New Roman"/>
              </w:rPr>
              <w:t xml:space="preserve">(ООО «Кузбассконсервмолоко») </w:t>
            </w:r>
            <w:r>
              <w:rPr>
                <w:rFonts w:ascii="Times New Roman" w:hAnsi="Times New Roman"/>
              </w:rPr>
              <w:t xml:space="preserve"> о проведении конгрессно-выставочных, презентационных мероприятий (23.04.2026г. VII специализированн</w:t>
            </w:r>
            <w:r>
              <w:rPr>
                <w:rFonts w:ascii="Times New Roman" w:hAnsi="Times New Roman"/>
              </w:rPr>
              <w:t xml:space="preserve">ая </w:t>
            </w:r>
            <w:r>
              <w:rPr>
                <w:rFonts w:ascii="Times New Roman" w:hAnsi="Times New Roman"/>
              </w:rPr>
              <w:t xml:space="preserve"> Конференци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«Производители и ритейл» ) 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175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развитию кадрового потенциала промышленных предприятий 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потребности промышленных  предприятий в рабочих кадрах, а также прогноз потребности при реализации инвестиционных проектов на 2025-2027 годы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экономического анализа и прогнозирования 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мониторинга потребности в кадрах в разрезе специальностей </w:t>
            </w:r>
            <w:r>
              <w:rPr>
                <w:rFonts w:ascii="Times New Roman" w:hAnsi="Times New Roman"/>
              </w:rPr>
              <w:t xml:space="preserve">осуществляется совместно с Территориальным ЦЗН  Тяжинского района  ГКУ «Кадровый центр Кузбасса» 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взаимодействия организаций образования с промышленными предприятиями, повышение престижа рабочих профессий и специальностей в промышленных отраслях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center"/>
              <w:rPr/>
            </w:pPr>
            <w:r>
              <w:rPr>
                <w:rFonts w:ascii="Times New Roman" w:hAnsi="Times New Roman"/>
              </w:rPr>
              <w:t xml:space="preserve">отдел экономического анализа и прогнозирования, </w:t>
            </w:r>
            <w:r>
              <w:rPr>
                <w:rFonts w:ascii="Times New Roman" w:hAnsi="Times New Roman"/>
              </w:rPr>
              <w:t>управление образования, Тяжинский агропромышленный техникум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  <w:color w:val="000000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hd w:fill="auto" w:val="clear"/>
              </w:rPr>
              <w:t xml:space="preserve">Экскурсия учащихся 9 класса </w:t>
            </w:r>
            <w:r>
              <w:rPr>
                <w:rFonts w:ascii="Times New Roman" w:hAnsi="Times New Roman"/>
                <w:color w:val="000000"/>
                <w:shd w:fill="auto" w:val="clear"/>
              </w:rPr>
              <w:t xml:space="preserve">МБОУ "Тяжинская средняя школа №1 им. Героя Кузбасса Н.И.Масалова", 09.03.2026г.  </w:t>
            </w:r>
            <w:r>
              <w:rPr>
                <w:rFonts w:ascii="Times New Roman" w:hAnsi="Times New Roman"/>
                <w:color w:val="000000"/>
                <w:shd w:fill="auto" w:val="clear"/>
              </w:rPr>
              <w:t xml:space="preserve">на ООО «Кузбассконсервмолоко» </w:t>
            </w:r>
            <w:hyperlink r:id="rId8">
              <w:r>
                <w:rPr>
                  <w:rStyle w:val="Hyperlink"/>
                  <w:rFonts w:ascii="Times New Roman" w:hAnsi="Times New Roman"/>
                  <w:color w:val="000000"/>
                  <w:shd w:fill="auto" w:val="clear"/>
                </w:rPr>
                <w:t>https://max.ru/id4242002124_gos/AZzTPHgFGcM</w:t>
              </w:r>
            </w:hyperlink>
            <w:r>
              <w:rPr>
                <w:rFonts w:ascii="Times New Roman" w:hAnsi="Times New Roman"/>
                <w:color w:val="000000"/>
                <w:shd w:fill="auto" w:val="clear"/>
              </w:rPr>
              <w:t xml:space="preserve">  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175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Противодействие незаконному обороту промышленной продукции 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противодействию незаконному обороту промышленной продукции (производство и реализация контрафактной и фальсифицированной продукции, несанкционированная торговля) на территории муниципального образования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экономического анализа и прогнозирования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Сотрудниками отдела экономического анализа и прогнозирования на постоянной основе п</w:t>
            </w:r>
            <w:r>
              <w:rPr>
                <w:rFonts w:ascii="Times New Roman" w:hAnsi="Times New Roman"/>
              </w:rPr>
              <w:t>ро</w:t>
            </w:r>
            <w:r>
              <w:rPr>
                <w:rFonts w:ascii="Times New Roman" w:hAnsi="Times New Roman"/>
              </w:rPr>
              <w:t xml:space="preserve">водят </w:t>
            </w:r>
            <w:r>
              <w:rPr>
                <w:rFonts w:ascii="Times New Roman" w:hAnsi="Times New Roman"/>
              </w:rPr>
              <w:t xml:space="preserve"> информационны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мероприяти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, направленны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на предотвращение несанкционированной торговли на территории </w:t>
            </w:r>
            <w:r>
              <w:rPr>
                <w:rFonts w:ascii="Times New Roman" w:hAnsi="Times New Roman"/>
              </w:rPr>
              <w:t xml:space="preserve">Тяжинского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 округа. </w:t>
            </w:r>
            <w:r>
              <w:rPr>
                <w:rFonts w:ascii="Times New Roman" w:hAnsi="Times New Roman"/>
              </w:rPr>
              <w:t>Отработан механизм работы  по предотвращению несанкционированной торговли: КУМИ-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равоохранительные органы — </w:t>
            </w:r>
            <w:r>
              <w:rPr>
                <w:rFonts w:ascii="Times New Roman" w:hAnsi="Times New Roman"/>
              </w:rPr>
              <w:t>территориальные отделы округа — отдел экономического анализа и прогнозирования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175" w:type="dxa"/>
            <w:gridSpan w:val="4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 - аналитическая и координационная работа 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4815" w:type="dxa"/>
            <w:tcBorders>
              <w:start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сводной информации о состоянии промышленных предприятий и проблемных вопросах их деятельности</w:t>
            </w:r>
          </w:p>
        </w:tc>
        <w:tc>
          <w:tcPr>
            <w:tcW w:w="2325" w:type="dxa"/>
            <w:tcBorders>
              <w:start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2025-2027 годов</w:t>
            </w:r>
          </w:p>
        </w:tc>
        <w:tc>
          <w:tcPr>
            <w:tcW w:w="3240" w:type="dxa"/>
            <w:tcBorders>
              <w:start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экономического анализа и прогнозирования</w:t>
            </w:r>
          </w:p>
        </w:tc>
        <w:tc>
          <w:tcPr>
            <w:tcW w:w="37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характеристика промышленного сектора</w:t>
            </w:r>
          </w:p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Промышленность пгт Тяжинский и округа представлена предприятиями пищевой (в том числе молочной) и угольной отраслей, а также сельским хозяйством. В последние годы отмечается нестабильность: часть предприятий находится в кризисе, другие — демонстрируют рост, но в целом экономическая ситуация характеризуется как сложная и подверженная внешним и внутренним рискам. </w:t>
            </w:r>
            <w:r>
              <w:rPr>
                <w:rFonts w:ascii="Times New Roman" w:hAnsi="Times New Roman"/>
                <w:u w:val="single"/>
              </w:rPr>
              <w:t>Нарушения экологических норм:</w:t>
            </w:r>
          </w:p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«Кузбассконсервмолоко»</w:t>
            </w:r>
            <w:r>
              <w:rPr>
                <w:rFonts w:ascii="Times New Roman" w:hAnsi="Times New Roman"/>
              </w:rPr>
              <w:t xml:space="preserve"> складировала золошлаковые отходы на открытом участке вблизи водоохранной зоны, что является нарушением природоохранного законодательства. Прокуратура потребовала устранить нарушения, а должностное лицо привлечено к дисциплинарной и административной ответственности. </w:t>
            </w:r>
          </w:p>
          <w:p>
            <w:pPr>
              <w:pStyle w:val="Style3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Незаконная эксплуатация радиочастот:</w:t>
            </w:r>
          </w:p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«Кузбассконсервмолоко» использовало базовые станции беспроводного доступа без разрешения на радиочастоты и без регистрации. По решению суда компания и её должностные лица привлечены к административной ответственности. </w:t>
            </w:r>
          </w:p>
          <w:p>
            <w:pPr>
              <w:pStyle w:val="Style37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Финансовые трудности:</w:t>
            </w:r>
          </w:p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2022 году выручка составила 1,58 млрд рублей, расходы — 1,6 млрд рублей, убытки превысили 25 млн рублей. Это свидетельствует о низкой рентабельности и риске банкротства.  </w:t>
            </w:r>
            <w:r>
              <w:rPr>
                <w:rFonts w:ascii="Times New Roman" w:hAnsi="Times New Roman"/>
                <w:u w:val="single"/>
              </w:rPr>
              <w:t>Налоговые споры:</w:t>
            </w:r>
          </w:p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Компания была вовлечена в длительный налоговый спор с ФНС по поводу доначисления НДС и налога на прибыль из-за фиктивных посредников. Несмотря на частичную победу в суде, предприятие понесло значительные финансовые и репутационные издержки.</w:t>
            </w:r>
          </w:p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Промышленные предприятия пгт Тяжинский сталкиваются с комплексом системных проблем: от финансовых и экологических до инфраструктурных и социальных. Для стабилизации ситуации необходимы как внутренние реформы на предприятиях, так и поддержка со стороны региональных и федеральных властей. Особое внимание стоит уделить модернизации производства, экологическим стандартам и развитию альтернативных отраслей для снижения зависимости от кризисных секторов.</w:t>
            </w:r>
          </w:p>
        </w:tc>
      </w:tr>
      <w:tr>
        <w:trPr>
          <w:trHeight w:val="404" w:hRule="atLeast"/>
        </w:trPr>
        <w:tc>
          <w:tcPr>
            <w:tcW w:w="85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481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анализа исполнения пунктов данного плана мероприятий </w:t>
            </w:r>
          </w:p>
        </w:tc>
        <w:tc>
          <w:tcPr>
            <w:tcW w:w="232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жеквартально, до 5 числа </w:t>
            </w:r>
          </w:p>
        </w:tc>
        <w:tc>
          <w:tcPr>
            <w:tcW w:w="32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экономического анализа и прогнозирования</w:t>
            </w:r>
          </w:p>
        </w:tc>
        <w:tc>
          <w:tcPr>
            <w:tcW w:w="37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справка в разрезе пунктов плана</w:t>
            </w:r>
          </w:p>
        </w:tc>
      </w:tr>
    </w:tbl>
    <w:p>
      <w:pPr>
        <w:pStyle w:val="BodyTextFirstInden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ind w:hanging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>04.05.2026</w:t>
      </w:r>
    </w:p>
    <w:sectPr>
      <w:headerReference w:type="default" r:id="rId9"/>
      <w:footerReference w:type="default" r:id="rId10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 w:characterSet="utf-8"/>
    <w:family w:val="roman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84&amp;n=148803&amp;dst=100030" TargetMode="External"/><Relationship Id="rId3" Type="http://schemas.openxmlformats.org/officeDocument/2006/relationships/hyperlink" Target="https://www.tyazhin.ru/news/ehffektivnost_raboty_regionalnogo_centra_kompetencij_v_kuzbasse_ocenili_federalnye_ehksperty/2026-04-17-24917;https://www.tyazhin.ru/news/bolee_250_sotrudnikov_kuzbasskikh_kompanij_projdut_obuchenie_na_fabrikakh_processov_v_2026_godu/2026-03-23-24702" TargetMode="External"/><Relationship Id="rId4" Type="http://schemas.openxmlformats.org/officeDocument/2006/relationships/hyperlink" Target="https://www.tyazhin.ru/news/novokuzneckij_gruzoperevozchik_povysit_ehffektivnost_raboty_s_pomoshhju_nacproekta/2026-02-19-24476" TargetMode="External"/><Relationship Id="rId5" Type="http://schemas.openxmlformats.org/officeDocument/2006/relationships/hyperlink" Target="https://www.tyazhin.ru/news/minehkonomrazvitija_rossii_v_2026_godu_napravit_na_lgotnye_zajmy_v_kuzbasskij_monogorod_30_mln_rublej/2026-02-09-24395;https://www.tyazhin.ru/news/kemerovskaja_kompanija_po_proizvodstvu_bumagi_i_kartona_iz_vtorsyrja_vnedrjaet_berezhlivye_tekhnologii/2026-02-02-24347" TargetMode="External"/><Relationship Id="rId6" Type="http://schemas.openxmlformats.org/officeDocument/2006/relationships/hyperlink" Target="https://www.tyazhin.ru/news/k_federalnomu_proektu_proizvoditelnost_truda_prisoedinilas_eshhe_odna_kuzbasskaja_kompanija/2026-01-23-24299" TargetMode="External"/><Relationship Id="rId7" Type="http://schemas.openxmlformats.org/officeDocument/2006/relationships/hyperlink" Target="https://www.tyazhin.ru/index/investicii/0-710" TargetMode="External"/><Relationship Id="rId8" Type="http://schemas.openxmlformats.org/officeDocument/2006/relationships/hyperlink" Target="https://max.ru/id4242002124_gos/AZzTPHgFGc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241</TotalTime>
  <Application>LibreOffice/25.8.3.2$Linux_X86_64 LibreOffice_project/580$Build-2</Application>
  <AppVersion>15.0000</AppVersion>
  <Pages>9</Pages>
  <Words>899</Words>
  <Characters>8051</Characters>
  <CharactersWithSpaces>8916</CharactersWithSpaces>
  <Paragraphs>104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2026-01-30T16:25:00Z</dcterms:created>
  <dc:creator/>
  <dc:description/>
  <dc:language>ru-RU</dc:language>
  <cp:lastModifiedBy/>
  <cp:lastPrinted>2026-02-02T09:53:21Z</cp:lastPrinted>
  <dcterms:modified xsi:type="dcterms:W3CDTF">2026-05-04T17:03:30Z</dcterms:modified>
  <cp:revision>47</cp:revision>
  <dc:subject/>
  <dc:title>Постановление Правительства Кемеровской области - Кузбасса от 12.12.2023 N 821(ред. от 23.12.2024)"Об утверждении государственной программы Кемеровской области - Кузбасса "Развитие промышленности Кузбасса"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