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/>
        <w:t xml:space="preserve">    </w:t>
      </w:r>
      <w:r>
        <w:rPr>
          <w:rFonts w:ascii="Times New Roman" w:hAnsi="Times New Roman"/>
        </w:rPr>
        <w:t>ПОЯСНИТЕЛЬНАЯ ЗАПИСКА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>к проекту муниципальной программы администрации Тяжинского муниципального округа «Развитие субъектов малого и среднего предпринимательства в Тяжинском муниципальном округе на 2026-2028 годы».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  <w:t xml:space="preserve">     </w:t>
      </w:r>
      <w:r>
        <w:rPr/>
        <w:t>Муниципальная программа «Развитие субъектов малого и среднего предпринимательства в Тяжинском муниципальном округе на 2026–2028 годы» разработана в соответствии со ст. 179 Бюджетного кодекса Российской Федерации от 31 июля 1998 г. № 145-ФЗ и законом Кемеровской области от 27 декабря 2007 г. № 187-ОЗ «О государственной поддержке малого и среднего предпринимательства в Кемеровской области».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Целью разработки муниципальной программы является создание благоприятных условий для роста и устойчивого развития малого и среднего бизнеса, увеличение его вклада в социально-экономическое развитие Тяжинского муниципального округа.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Основные задачи муниципальной программы включают: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Развитие малого и среднего предпринимательства в приоритетных и социально значимых сферах экономики;</w:t>
      </w:r>
    </w:p>
    <w:p>
      <w:pPr>
        <w:pStyle w:val="Normal"/>
        <w:rPr/>
      </w:pPr>
      <w:r>
        <w:rPr/>
        <w:t>Создание и развитие инфраструктуры поддержки субъектов малого и среднего предпринимательства;</w:t>
      </w:r>
    </w:p>
    <w:p>
      <w:pPr>
        <w:pStyle w:val="Normal"/>
        <w:rPr/>
      </w:pPr>
      <w:r>
        <w:rPr/>
        <w:t>Формирование эффективных финансовых инструментов, способствующих развитию малых и средних предприятий;</w:t>
      </w:r>
    </w:p>
    <w:p>
      <w:pPr>
        <w:pStyle w:val="Normal"/>
        <w:rPr/>
      </w:pPr>
      <w:r>
        <w:rPr/>
        <w:t>Информационно-аналитическая поддержка предпринимателей и организаций, формирующих инфраструктуру поддержки малого и среднего бизнеса.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Реализация Муниципальной программы направлена на создание условий и факторов, способствующих развитию малого и среднего предпринимательства в Т</w:t>
      </w:r>
      <w:r>
        <w:rPr/>
        <w:t>яжинском</w:t>
      </w:r>
      <w:r>
        <w:rPr/>
        <w:t xml:space="preserve"> муниципальном округе. Для достижения поставленных целей предусмотрены следующие мероприятия: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Совершенствование нормативно-правовой базы: разработка и внедрение нормативной документации, устраняющей административные барьеры и создающей комфортные условия для ведения предпринимательской деятельности.</w:t>
      </w:r>
    </w:p>
    <w:p>
      <w:pPr>
        <w:pStyle w:val="Normal"/>
        <w:rPr/>
      </w:pPr>
      <w:r>
        <w:rPr/>
        <w:t>Финансово-кредитная поддержка: оказание материальной помощи малым и средним предприятиям посредством предоставления субсидий, грантов, льготных займов и гарантий, что снижает финансов</w:t>
      </w:r>
      <w:r>
        <w:rPr/>
        <w:t>ые трудности</w:t>
      </w:r>
      <w:r>
        <w:rPr/>
        <w:t xml:space="preserve"> и стимулирует инвестиционную активность.</w:t>
      </w:r>
    </w:p>
    <w:p>
      <w:pPr>
        <w:pStyle w:val="Normal"/>
        <w:rPr/>
      </w:pPr>
      <w:r>
        <w:rPr/>
        <w:t>Поддержка предпринимательских инициатив: проведение консультативных сессий, тренингов и семинаров, содействующих повышению уровня профессиональной подготовки владельцев и сотрудников предприятий, а также помощь в участии в выставках, ярмарках и конкурсных проектах.</w:t>
      </w:r>
    </w:p>
    <w:p>
      <w:pPr>
        <w:pStyle w:val="Normal"/>
        <w:rPr/>
      </w:pPr>
      <w:r>
        <w:rPr/>
        <w:t>Статистическое сопровождение, кадровая подготовка и информационное обеспечение: систематический мониторинг состояния сектора малого и среднего бизнеса, регулярное информирование предпринимателей о новых мерах государственной поддержки, процедурах участия в госзакупках и наличии образовательных возможностей.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Заместитель главы Тяжинского </w:t>
      </w:r>
    </w:p>
    <w:p>
      <w:pPr>
        <w:pStyle w:val="Normal"/>
        <w:rPr/>
      </w:pPr>
      <w:r>
        <w:rPr/>
        <w:t>муниципального округа по экономике                                               А.В. Гурова</w:t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LibreOffice/24.8.4.2$Linux_X86_64 LibreOffice_project/480$Build-2</Application>
  <AppVersion>15.0000</AppVersion>
  <Pages>2</Pages>
  <Words>291</Words>
  <Characters>2370</Characters>
  <CharactersWithSpaces>2700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2025-08-18T05:34:05Z</dcterms:created>
  <dc:creator/>
  <dc:description/>
  <dc:language>ru-RU</dc:language>
  <cp:lastModifiedBy/>
  <dcterms:modified xsi:type="dcterms:W3CDTF">2025-08-19T09:39:12Z</dcterms:modified>
  <cp:revision>1</cp:revision>
  <dc:subject/>
  <dc:title/>
</cp:coreProperties>
</file>