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420850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30 января 2024</w:t>
            </w:r>
            <w:r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73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320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9033CA">
        <w:rPr>
          <w:rFonts w:eastAsia="Calibri"/>
          <w:b/>
          <w:i/>
          <w:szCs w:val="28"/>
        </w:rPr>
        <w:t>31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FC251D">
        <w:rPr>
          <w:rFonts w:eastAsia="Calibri"/>
          <w:szCs w:val="28"/>
        </w:rPr>
        <w:t>Гончаровой Юлии Геннадьевны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FC251D">
        <w:rPr>
          <w:rFonts w:eastAsia="Calibri"/>
          <w:szCs w:val="28"/>
        </w:rPr>
        <w:t>31 Гончарову Юлию Геннадьевну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93" w:rsidRDefault="00B26C93" w:rsidP="00A71A08">
      <w:pPr>
        <w:spacing w:after="0"/>
      </w:pPr>
      <w:r>
        <w:separator/>
      </w:r>
    </w:p>
  </w:endnote>
  <w:endnote w:type="continuationSeparator" w:id="0">
    <w:p w:rsidR="00B26C93" w:rsidRDefault="00B26C93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93" w:rsidRDefault="00B26C93" w:rsidP="00A71A08">
      <w:pPr>
        <w:spacing w:after="0"/>
      </w:pPr>
      <w:r>
        <w:separator/>
      </w:r>
    </w:p>
  </w:footnote>
  <w:footnote w:type="continuationSeparator" w:id="0">
    <w:p w:rsidR="00B26C93" w:rsidRDefault="00B26C93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7636"/>
    <w:rsid w:val="00BD04A8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D7BF4"/>
    <w:rsid w:val="00EF5EF5"/>
    <w:rsid w:val="00F04E9E"/>
    <w:rsid w:val="00F21B88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43A0-C8B8-42CB-A68D-4FFBF701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28</cp:revision>
  <cp:lastPrinted>2022-03-23T11:00:00Z</cp:lastPrinted>
  <dcterms:created xsi:type="dcterms:W3CDTF">2020-12-23T08:16:00Z</dcterms:created>
  <dcterms:modified xsi:type="dcterms:W3CDTF">2024-01-29T08:40:00Z</dcterms:modified>
</cp:coreProperties>
</file>