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593B8E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593B8E">
        <w:rPr>
          <w:b/>
          <w:szCs w:val="28"/>
        </w:rPr>
        <w:t>1</w:t>
      </w:r>
      <w:r w:rsidR="005F5B6C">
        <w:rPr>
          <w:b/>
          <w:szCs w:val="28"/>
        </w:rPr>
        <w:t>50</w:t>
      </w:r>
      <w:r w:rsidR="001216D6">
        <w:rPr>
          <w:b/>
          <w:szCs w:val="28"/>
        </w:rPr>
        <w:t xml:space="preserve"> от </w:t>
      </w:r>
      <w:r w:rsidR="00593B8E">
        <w:rPr>
          <w:b/>
          <w:szCs w:val="28"/>
        </w:rPr>
        <w:t xml:space="preserve">18 марта </w:t>
      </w:r>
      <w:r w:rsidR="001216D6">
        <w:rPr>
          <w:b/>
          <w:szCs w:val="28"/>
        </w:rPr>
        <w:t>202</w:t>
      </w:r>
      <w:r w:rsidR="00593B8E">
        <w:rPr>
          <w:b/>
          <w:szCs w:val="28"/>
        </w:rPr>
        <w:t>2</w:t>
      </w:r>
      <w:r w:rsidR="001216D6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593B8E">
        <w:rPr>
          <w:rFonts w:eastAsia="Calibri"/>
          <w:b/>
          <w:i/>
          <w:szCs w:val="28"/>
        </w:rPr>
        <w:t>3</w:t>
      </w:r>
      <w:r w:rsidR="005F5B6C">
        <w:rPr>
          <w:rFonts w:eastAsia="Calibri"/>
          <w:b/>
          <w:i/>
          <w:szCs w:val="28"/>
        </w:rPr>
        <w:t>6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B33E0C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593B8E">
        <w:rPr>
          <w:rFonts w:ascii="Times New Roman" w:hAnsi="Times New Roman" w:cs="Times New Roman"/>
          <w:sz w:val="28"/>
          <w:szCs w:val="28"/>
        </w:rPr>
        <w:t>3</w:t>
      </w:r>
      <w:r w:rsidR="005F5B6C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5F5B6C">
        <w:rPr>
          <w:rFonts w:ascii="Times New Roman" w:hAnsi="Times New Roman" w:cs="Times New Roman"/>
          <w:sz w:val="28"/>
          <w:szCs w:val="28"/>
        </w:rPr>
        <w:t>Сазыкину</w:t>
      </w:r>
      <w:proofErr w:type="spellEnd"/>
      <w:r w:rsidR="005F5B6C">
        <w:rPr>
          <w:rFonts w:ascii="Times New Roman" w:hAnsi="Times New Roman" w:cs="Times New Roman"/>
          <w:sz w:val="28"/>
          <w:szCs w:val="28"/>
        </w:rPr>
        <w:t xml:space="preserve"> Раису </w:t>
      </w:r>
      <w:proofErr w:type="spellStart"/>
      <w:r w:rsidR="005F5B6C">
        <w:rPr>
          <w:rFonts w:ascii="Times New Roman" w:hAnsi="Times New Roman" w:cs="Times New Roman"/>
          <w:sz w:val="28"/>
          <w:szCs w:val="28"/>
        </w:rPr>
        <w:t>Б</w:t>
      </w:r>
      <w:r w:rsidR="00DB3E37">
        <w:rPr>
          <w:rFonts w:ascii="Times New Roman" w:hAnsi="Times New Roman" w:cs="Times New Roman"/>
          <w:sz w:val="28"/>
          <w:szCs w:val="28"/>
        </w:rPr>
        <w:t>о</w:t>
      </w:r>
      <w:r w:rsidR="005F5B6C">
        <w:rPr>
          <w:rFonts w:ascii="Times New Roman" w:hAnsi="Times New Roman" w:cs="Times New Roman"/>
          <w:sz w:val="28"/>
          <w:szCs w:val="28"/>
        </w:rPr>
        <w:t>смановну</w:t>
      </w:r>
      <w:proofErr w:type="spellEnd"/>
      <w:r w:rsidR="00D95817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BD" w:rsidRDefault="002006BD" w:rsidP="00A71A08">
      <w:pPr>
        <w:spacing w:after="0"/>
      </w:pPr>
      <w:r>
        <w:separator/>
      </w:r>
    </w:p>
  </w:endnote>
  <w:endnote w:type="continuationSeparator" w:id="0">
    <w:p w:rsidR="002006BD" w:rsidRDefault="002006BD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BD" w:rsidRDefault="002006BD" w:rsidP="00A71A08">
      <w:pPr>
        <w:spacing w:after="0"/>
      </w:pPr>
      <w:r>
        <w:separator/>
      </w:r>
    </w:p>
  </w:footnote>
  <w:footnote w:type="continuationSeparator" w:id="0">
    <w:p w:rsidR="002006BD" w:rsidRDefault="002006BD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006BD"/>
    <w:rsid w:val="002133DC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41825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5F5B6C"/>
    <w:rsid w:val="006004AC"/>
    <w:rsid w:val="00606937"/>
    <w:rsid w:val="006144C8"/>
    <w:rsid w:val="0062125A"/>
    <w:rsid w:val="006245F5"/>
    <w:rsid w:val="0062492E"/>
    <w:rsid w:val="00631EB9"/>
    <w:rsid w:val="006507CB"/>
    <w:rsid w:val="00670C71"/>
    <w:rsid w:val="00676E25"/>
    <w:rsid w:val="00677DC6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3693F"/>
    <w:rsid w:val="00B60E96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A612F"/>
    <w:rsid w:val="00DB3E37"/>
    <w:rsid w:val="00DB5B44"/>
    <w:rsid w:val="00DC3322"/>
    <w:rsid w:val="00DF1E41"/>
    <w:rsid w:val="00E1553A"/>
    <w:rsid w:val="00E21C25"/>
    <w:rsid w:val="00E3085B"/>
    <w:rsid w:val="00E36EF1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418C2"/>
    <w:rsid w:val="00F46FD7"/>
    <w:rsid w:val="00F53690"/>
    <w:rsid w:val="00F62CCD"/>
    <w:rsid w:val="00F74C84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7763-1BE2-4EEF-8086-CEB90690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35</cp:revision>
  <cp:lastPrinted>2022-03-23T11:11:00Z</cp:lastPrinted>
  <dcterms:created xsi:type="dcterms:W3CDTF">2020-12-23T08:16:00Z</dcterms:created>
  <dcterms:modified xsi:type="dcterms:W3CDTF">2022-03-23T11:12:00Z</dcterms:modified>
</cp:coreProperties>
</file>