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" w:hAnsi="Times New Roman"/>
          <w:b w:val="1"/>
          <w:sz w:val="24"/>
        </w:rPr>
        <w:drawing>
          <wp:inline>
            <wp:extent cx="542925" cy="9144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42925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ОТДЕЛ ФИНАНСОВОГО КОНТРОЛЯ АДМИНИСТРАЦИИ ТЯЖИНСКОГО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ind w:firstLine="709" w:left="0"/>
        <w:jc w:val="center"/>
        <w:rPr>
          <w:i w:val="1"/>
        </w:rPr>
      </w:pPr>
      <w:r>
        <w:rPr>
          <w:i w:val="1"/>
          <w:sz w:val="14"/>
        </w:rPr>
        <w:t>652240</w:t>
      </w:r>
      <w:r>
        <w:rPr>
          <w:i w:val="1"/>
          <w:sz w:val="14"/>
        </w:rPr>
        <w:t>,</w:t>
      </w:r>
      <w:r>
        <w:rPr>
          <w:i w:val="1"/>
          <w:sz w:val="14"/>
        </w:rPr>
        <w:t xml:space="preserve"> Кемеровская область, пгт. Тяжинский, ул. Советская, дом 6</w:t>
      </w:r>
      <w:r>
        <w:rPr>
          <w:i w:val="1"/>
          <w:sz w:val="14"/>
        </w:rPr>
        <w:t xml:space="preserve">; тел. (384-49)28-7-23;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  <w:r>
        <w:rPr>
          <w:i w:val="1"/>
          <w:sz w:val="14"/>
        </w:rPr>
        <w:t>: kontrol_fin</w:t>
      </w:r>
      <w:r>
        <w:rPr>
          <w:i w:val="1"/>
          <w:sz w:val="14"/>
        </w:rPr>
        <w:t>@</w:t>
      </w:r>
      <w:r>
        <w:rPr>
          <w:i w:val="1"/>
          <w:sz w:val="14"/>
        </w:rPr>
        <w:t>mail</w:t>
      </w:r>
      <w:r>
        <w:rPr>
          <w:i w:val="1"/>
          <w:sz w:val="14"/>
        </w:rPr>
        <w:t>.</w:t>
      </w:r>
      <w:r>
        <w:rPr>
          <w:i w:val="1"/>
          <w:sz w:val="14"/>
        </w:rPr>
        <w:t>ru</w:t>
      </w:r>
    </w:p>
    <w:p w14:paraId="04000000">
      <w:pPr>
        <w:spacing w:after="120" w:before="12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АКТ № 1 </w:t>
      </w:r>
    </w:p>
    <w:p w14:paraId="05000000">
      <w:pPr>
        <w:spacing w:after="120" w:before="12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проведения плановой проверки по внутреннему муниципальному</w:t>
      </w:r>
    </w:p>
    <w:p w14:paraId="06000000">
      <w:pPr>
        <w:spacing w:after="120" w:before="120" w:line="240" w:lineRule="auto"/>
        <w:ind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финансовому контролю в отношении Управления социальной защиты населения администрации Тяжинского муниципального округа</w:t>
      </w:r>
    </w:p>
    <w:p w14:paraId="07000000">
      <w:pPr>
        <w:spacing w:after="120" w:before="120"/>
        <w:ind w:hanging="120" w:left="120" w:right="120"/>
        <w:jc w:val="left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</w:p>
    <w:p w14:paraId="08000000">
      <w:pPr>
        <w:spacing w:after="120" w:before="120"/>
        <w:ind w:hanging="120" w:left="120" w:right="120"/>
        <w:jc w:val="left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t xml:space="preserve">  пгт</w:t>
      </w:r>
      <w:r>
        <w:t xml:space="preserve"> Тяжинский</w:t>
      </w:r>
      <w:r>
        <w:tab/>
      </w:r>
      <w:r>
        <w:tab/>
      </w:r>
      <w:r>
        <w:t xml:space="preserve">                                              </w:t>
      </w:r>
      <w:r>
        <w:t xml:space="preserve">    </w:t>
      </w:r>
      <w:r>
        <w:t xml:space="preserve"> «04</w:t>
      </w:r>
      <w:r>
        <w:t>»</w:t>
      </w:r>
      <w:r>
        <w:t xml:space="preserve"> февраля</w:t>
      </w:r>
      <w:r>
        <w:t xml:space="preserve"> </w:t>
      </w:r>
      <w:r>
        <w:t>20</w:t>
      </w:r>
      <w:r>
        <w:t>26</w:t>
      </w:r>
      <w:r>
        <w:t xml:space="preserve"> года </w:t>
      </w:r>
    </w:p>
    <w:p w14:paraId="09000000">
      <w:pPr>
        <w:spacing w:after="120" w:before="120"/>
        <w:ind w:hanging="120" w:left="120" w:right="12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p w14:paraId="0A000000">
      <w:pPr>
        <w:spacing w:after="120" w:before="120"/>
        <w:ind w:firstLine="85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Отделом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финансового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контроля администрации Тяжинского муниципального округа в соответствии с </w:t>
      </w:r>
      <w:r>
        <w:rPr>
          <w:rFonts w:ascii="Times New Roman" w:hAnsi="Times New Roman"/>
          <w:color w:val="000000"/>
          <w:sz w:val="28"/>
        </w:rPr>
        <w:t>Федеральным</w:t>
      </w:r>
      <w:r>
        <w:rPr>
          <w:rFonts w:ascii="Times New Roman" w:hAnsi="Times New Roman"/>
          <w:color w:val="000000"/>
          <w:sz w:val="28"/>
        </w:rPr>
        <w:t xml:space="preserve"> стандар</w:t>
      </w:r>
      <w:r>
        <w:rPr>
          <w:rFonts w:ascii="Times New Roman" w:hAnsi="Times New Roman"/>
          <w:color w:val="000000"/>
          <w:sz w:val="28"/>
        </w:rPr>
        <w:t>том внутреннего государственного (муниципального) финансово</w:t>
      </w:r>
      <w:r>
        <w:rPr>
          <w:rFonts w:ascii="Times New Roman" w:hAnsi="Times New Roman"/>
          <w:color w:val="000000"/>
          <w:sz w:val="28"/>
        </w:rPr>
        <w:t>го контроля «</w:t>
      </w:r>
      <w:r>
        <w:rPr>
          <w:rFonts w:ascii="Times New Roman" w:hAnsi="Times New Roman"/>
          <w:color w:val="000000"/>
          <w:sz w:val="28"/>
        </w:rPr>
        <w:t>Проведение п</w:t>
      </w:r>
      <w:r>
        <w:rPr>
          <w:rFonts w:ascii="Times New Roman" w:hAnsi="Times New Roman"/>
          <w:sz w:val="28"/>
        </w:rPr>
        <w:t>роверок, ревизий и обследований и оформлен</w:t>
      </w:r>
      <w:r>
        <w:rPr>
          <w:rFonts w:ascii="Times New Roman" w:hAnsi="Times New Roman"/>
          <w:sz w:val="28"/>
        </w:rPr>
        <w:t>ие их результа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Правительства РФ от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7.0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.2020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1235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оведена 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в Управлении социальной защиты населения администрации Тяжинского муниципального округа в составе контрольной группы: </w:t>
      </w:r>
    </w:p>
    <w:p w14:paraId="0B000000">
      <w:pPr>
        <w:numPr>
          <w:numId w:val="1"/>
        </w:numPr>
        <w:spacing w:after="120" w:before="120"/>
        <w:ind w:firstLine="283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Панарина Татьяна Сергеевна, начальник отдела финансового контроля администрации Тяжинского муниципального округа;</w:t>
      </w:r>
    </w:p>
    <w:p w14:paraId="0C000000">
      <w:pPr>
        <w:numPr>
          <w:numId w:val="2"/>
        </w:numPr>
        <w:spacing w:after="120" w:before="120"/>
        <w:ind w:firstLine="13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Торгашова Эльвира Юрьевна, главный специалист по юридическим вопросам администрации Тяжинского муниципального округа.</w:t>
      </w:r>
    </w:p>
    <w:p w14:paraId="0D000000">
      <w:pPr>
        <w:spacing w:after="120" w:before="120"/>
        <w:ind w:firstLine="13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E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Объект контрольного мероприятия: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Управления социальной защиты населения администрации Тяжинского муниципального округа.</w:t>
      </w:r>
    </w:p>
    <w:p w14:paraId="0F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0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Основание для проведения проверки: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Проверка проведена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на основании </w:t>
      </w:r>
      <w:r>
        <w:rPr>
          <w:rFonts w:ascii="Times New Roman" w:hAnsi="Times New Roman"/>
          <w:sz w:val="28"/>
        </w:rPr>
        <w:t>представления о принятии мер по устранению обстоятельств, способствующих совершению преступления (других нарушений закона) Тяжинского межрайонного следственного отдела СУ СК России по Кемеровской области – Кузбассу СК России от 05.12.2025 г. №234-34</w:t>
      </w:r>
      <w:r>
        <w:rPr>
          <w:rFonts w:ascii="Times New Roman" w:hAnsi="Times New Roman"/>
          <w:sz w:val="28"/>
        </w:rPr>
        <w:t xml:space="preserve">-2025, </w:t>
      </w:r>
      <w:r>
        <w:t xml:space="preserve">распоряжения главы Тяжинского муниципального </w:t>
      </w:r>
      <w:r>
        <w:t>округа от 23</w:t>
      </w:r>
      <w:r>
        <w:t>.01</w:t>
      </w:r>
      <w:r>
        <w:t xml:space="preserve">.2026       </w:t>
      </w:r>
      <w:r>
        <w:t>№ 23</w:t>
      </w:r>
      <w:r>
        <w:t>-р</w:t>
      </w:r>
      <w:r>
        <w:t xml:space="preserve"> «О проведении контрольного мероприятия».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</w:p>
    <w:p w14:paraId="11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2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Цель контрольного мероприятия: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контракта.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14000000">
      <w:pPr>
        <w:spacing w:after="0" w:line="240" w:lineRule="auto"/>
        <w:ind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Предмет контрольного мероприятия: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осуществление управлен</w:t>
      </w:r>
      <w:r>
        <w:rPr>
          <w:rFonts w:ascii="Times New Roman" w:hAnsi="Times New Roman"/>
          <w:color w:val="000000"/>
          <w:sz w:val="28"/>
        </w:rPr>
        <w:t>ием видов деятельности,</w:t>
      </w:r>
      <w:r>
        <w:rPr>
          <w:rFonts w:ascii="Times New Roman" w:hAnsi="Times New Roman"/>
          <w:color w:val="000000"/>
          <w:sz w:val="28"/>
        </w:rPr>
        <w:t xml:space="preserve"> предусмотренных учредительными документами;</w:t>
      </w:r>
    </w:p>
    <w:p w14:paraId="16000000">
      <w:pPr>
        <w:numPr>
          <w:numId w:val="3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t>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контракта;</w:t>
      </w:r>
    </w:p>
    <w:p w14:paraId="17000000">
      <w:pPr>
        <w:numPr>
          <w:numId w:val="4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условия и порядок предоставления, установления размеров государственной социальной помощи малоимущим и малоимущим одиноко проживающим гражданам в виде денежной выплаты на основании социального контракта.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Проверяемый период</w:t>
      </w:r>
      <w:r>
        <w:rPr>
          <w:rFonts w:ascii="Times New Roman" w:hAnsi="Times New Roman"/>
          <w:sz w:val="28"/>
        </w:rPr>
        <w:t>: с 04.2023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по 04.2024 г.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Срок проведения проверки: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начало – 23</w:t>
      </w:r>
      <w:r>
        <w:rPr>
          <w:rFonts w:ascii="Times New Roman" w:hAnsi="Times New Roman"/>
          <w:sz w:val="28"/>
        </w:rPr>
        <w:t>.01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окончание – 28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и составил 4 рабочих дня. </w:t>
      </w:r>
      <w:r>
        <w:rPr>
          <w:rFonts w:ascii="Times New Roman" w:hAnsi="Times New Roman"/>
          <w:sz w:val="28"/>
        </w:rPr>
        <w:t>По результатам контрольного мероприятия составлен акт №1 от 04</w:t>
      </w:r>
      <w:r>
        <w:rPr>
          <w:rFonts w:ascii="Times New Roman" w:hAnsi="Times New Roman"/>
          <w:sz w:val="28"/>
        </w:rPr>
        <w:t xml:space="preserve"> февраля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года, </w:t>
      </w:r>
      <w:r>
        <w:rPr>
          <w:rFonts w:ascii="Times New Roman" w:hAnsi="Times New Roman"/>
          <w:sz w:val="28"/>
        </w:rPr>
        <w:t>который был направлен начальнику управления социальной защиты администрации Тяжинского муниципального округа.</w:t>
      </w:r>
    </w:p>
    <w:p w14:paraId="1C000000">
      <w:pPr>
        <w:ind/>
        <w:jc w:val="both"/>
      </w:pPr>
      <w:bookmarkStart w:id="1" w:name="_Hlk170231189"/>
      <w:bookmarkEnd w:id="1"/>
      <w:r>
        <w:t xml:space="preserve">  </w:t>
      </w:r>
    </w:p>
    <w:p w14:paraId="1D000000">
      <w:pPr>
        <w:ind/>
        <w:jc w:val="both"/>
      </w:pPr>
      <w:r>
        <w:t xml:space="preserve">Сведения об объекте контроля </w:t>
      </w: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2"/>
        <w:gridCol w:w="5823"/>
      </w:tblGrid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both"/>
            </w:pPr>
            <w:r>
              <w:t>Юридический адрес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both"/>
            </w:pPr>
            <w:r>
              <w:t>652240, Кемеровская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>, пгт</w:t>
            </w:r>
            <w:r>
              <w:t xml:space="preserve"> Тяжинский, ул. </w:t>
            </w:r>
            <w:r>
              <w:t>Советская</w:t>
            </w:r>
            <w:r>
              <w:t>,</w:t>
            </w:r>
            <w:r>
              <w:t xml:space="preserve">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</w:pPr>
            <w:r>
              <w:t>Фактическое местонахождение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652240, Кеме</w:t>
            </w:r>
            <w:r>
              <w:rPr>
                <w:color w:val="000000"/>
              </w:rPr>
              <w:t>ровская область</w:t>
            </w:r>
            <w:r>
              <w:rPr>
                <w:color w:val="000000"/>
              </w:rPr>
              <w:t xml:space="preserve"> - Кузбасс</w:t>
            </w:r>
            <w:r>
              <w:rPr>
                <w:color w:val="000000"/>
              </w:rPr>
              <w:t xml:space="preserve">, Тяжинский </w:t>
            </w:r>
            <w:r>
              <w:rPr>
                <w:color w:val="000000"/>
              </w:rPr>
              <w:t>р-н</w:t>
            </w:r>
            <w:r>
              <w:rPr>
                <w:color w:val="000000"/>
              </w:rPr>
              <w:t xml:space="preserve">, пгт Тяжинский, ул. </w:t>
            </w:r>
            <w:r>
              <w:rPr>
                <w:color w:val="000000"/>
              </w:rPr>
              <w:t>Советская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</w:pPr>
            <w:r>
              <w:t>Телефон, факс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</w:pPr>
            <w:r>
              <w:t xml:space="preserve">8 (384-49) </w:t>
            </w:r>
            <w:r>
              <w:t>2</w:t>
            </w:r>
            <w:r>
              <w:t>7</w:t>
            </w:r>
            <w:r>
              <w:t>-</w:t>
            </w:r>
            <w:r>
              <w:t>0</w:t>
            </w:r>
            <w:r>
              <w:t>-0</w:t>
            </w:r>
            <w:r>
              <w:t>5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both"/>
            </w:pPr>
            <w:r>
              <w:t>Дата и орган регистрации и утверждения уставных документов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  <w:rPr>
                <w:highlight w:val="yellow"/>
              </w:rPr>
            </w:pPr>
            <w:r>
              <w:t>Межрайонн</w:t>
            </w:r>
            <w:r>
              <w:t>ая инспекция</w:t>
            </w:r>
            <w:r>
              <w:t xml:space="preserve"> Федеральной налоговой службы №1</w:t>
            </w:r>
            <w:r>
              <w:t>5</w:t>
            </w:r>
            <w:r>
              <w:t xml:space="preserve"> по Кемеровской области</w:t>
            </w:r>
            <w:r>
              <w:t>, 22.10.2002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both"/>
              <w:rPr>
                <w:highlight w:val="yellow"/>
              </w:rPr>
            </w:pPr>
            <w:r>
              <w:t>1024202237180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</w:pPr>
            <w:r>
              <w:t>Код причины постановки на налоговый учет (КПП)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both"/>
              <w:rPr>
                <w:highlight w:val="yellow"/>
              </w:rPr>
            </w:pPr>
            <w:r>
              <w:t>421301001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</w:pPr>
            <w:r>
              <w:t>Код общероссийского классификатора предприятий, организаций (ОКПО)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</w:pPr>
            <w:r>
              <w:rPr>
                <w:color w:val="222222"/>
                <w:highlight w:val="white"/>
              </w:rPr>
              <w:t>75404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both"/>
              <w:rPr>
                <w:highlight w:val="yellow"/>
              </w:rPr>
            </w:pPr>
            <w:r>
              <w:t>424</w:t>
            </w:r>
            <w:r>
              <w:t>2002237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</w:pPr>
            <w:r>
              <w:t>Общероссийский классификатор видов экономической деятельности (ОКВЭД)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both"/>
            </w:pPr>
            <w:r>
              <w:t>84.11.3 Деятельность органов местного самоуправления по управлению вопросами общего характера</w:t>
            </w:r>
          </w:p>
        </w:tc>
      </w:tr>
      <w:tr>
        <w:trPr>
          <w:trHeight w:hRule="atLeast" w:val="547"/>
        </w:trP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</w:pPr>
            <w:r>
              <w:t>Сведения об учредителях, участниках (при наличии)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  <w:rPr>
                <w:highlight w:val="yellow"/>
              </w:rPr>
            </w:pPr>
            <w:r>
              <w:t>А</w:t>
            </w:r>
            <w:r>
              <w:t>дминистраци</w:t>
            </w:r>
            <w:r>
              <w:t>я</w:t>
            </w:r>
            <w:r>
              <w:t xml:space="preserve"> Тяжинского муниципального </w:t>
            </w:r>
            <w:r>
              <w:t>района Кемеровской области</w:t>
            </w:r>
          </w:p>
        </w:tc>
      </w:tr>
    </w:tbl>
    <w:p w14:paraId="32000000">
      <w:pPr>
        <w:ind/>
        <w:jc w:val="both"/>
      </w:pPr>
    </w:p>
    <w:p w14:paraId="33000000">
      <w:pPr>
        <w:ind/>
        <w:jc w:val="center"/>
        <w:rPr>
          <w:rFonts w:ascii="Times New Roman" w:hAnsi="Times New Roman"/>
          <w:b w:val="1"/>
          <w:sz w:val="28"/>
          <w:u w:val="single"/>
        </w:rPr>
      </w:pPr>
      <w:bookmarkStart w:id="2" w:name="_Hlk170231206"/>
      <w:bookmarkEnd w:id="2"/>
      <w:r>
        <w:rPr>
          <w:b w:val="1"/>
          <w:u w:val="single"/>
        </w:rP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rPr>
          <w:b w:val="1"/>
          <w:u w:val="single"/>
        </w:rPr>
        <w:t>на территории Тяжинского муниципального округа</w:t>
      </w:r>
    </w:p>
    <w:p w14:paraId="34000000">
      <w:pPr>
        <w:ind/>
        <w:contextualSpacing w:val="1"/>
        <w:jc w:val="both"/>
      </w:pPr>
      <w:r>
        <w:tab/>
      </w:r>
    </w:p>
    <w:p w14:paraId="35000000">
      <w:pPr>
        <w:ind w:firstLine="567" w:left="0"/>
        <w:contextualSpacing w:val="1"/>
        <w:jc w:val="both"/>
      </w:pPr>
      <w:r>
        <w:t>В соответствии</w:t>
      </w:r>
      <w:r>
        <w:t xml:space="preserve">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t xml:space="preserve">,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т 20.03.2025 N 33-ФЗ «Об общих принципах организации местного самоуправления в единой системе публичной власти»,</w:t>
      </w:r>
      <w:r>
        <w:t xml:space="preserve"> от 17.07.1999 № 178-ФЗ «О государственной социальной помощи», Законами Кемеровской области от 08.12.2005 №140 «О государственной социальной помощи малоимущим семьям и малоимущим одиноко проживающим гражданам», от 27.07.2005 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Постановлением Правительства Кемеровской области - Кузбасса от 09.12.2020 №734 «Об утверждении условий и порядка предоставления, а также установления размеров государственной социальной помощи, утверждении Порядка проведения мониторинга оказания государственной социальной помощи в виде денежной выплаты на основании социального контракта», в целях реализации Условий и порядка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контракта», утвержденным постановлением Правительства Кемеровской области – Кузбасса от 08.04.2021 №187 (далее – Порядок предоставления социальной выплаты), Постановлением Тяжинского муниципального округа от 22.07.2022 №211-п «О создании комиссии по принятию решений о предоставлении</w:t>
      </w:r>
      <w:r>
        <w:t xml:space="preserve"> государственной социальной помощи в виде денежной выплаты </w:t>
      </w:r>
      <w:r>
        <w:t>на основании социального контракта</w:t>
      </w:r>
      <w:r>
        <w:t xml:space="preserve"> малоимущим семьям и малоимущим одиноко проживающим гражданам и об утверждении Положения о комиссии» проведена 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 (далее - Комиссия). </w:t>
      </w:r>
    </w:p>
    <w:p w14:paraId="36000000">
      <w:pPr>
        <w:ind w:firstLine="567" w:left="0"/>
        <w:contextualSpacing w:val="1"/>
        <w:jc w:val="both"/>
      </w:pPr>
      <w:r>
        <w:t xml:space="preserve">Комиссия создается с целью рассмотрения отдельных вопросов по предоставлению </w:t>
      </w:r>
      <w:r>
        <w:t>государственной социальной помощи в виде денежной выплаты на основании социального контракта, проживающим (пребывающим) на территории Тяжинского муниципального округа. Основной из задач деятельности Комиссии является стимулирование активных действий малоимущих семей, малоимущих одиноко проживающих граждан к преодолению трудной жизненной ситуации.</w:t>
      </w:r>
    </w:p>
    <w:p w14:paraId="37000000">
      <w:pPr>
        <w:ind w:firstLine="567" w:left="0"/>
        <w:contextualSpacing w:val="1"/>
        <w:jc w:val="both"/>
      </w:pPr>
      <w:r>
        <w:t xml:space="preserve">Состав комиссии по принятию решений о предоставлении государственной социальной помощи в виде денежной выплаты на основании социального контракта в проверяемом периоде </w:t>
      </w:r>
      <w:r>
        <w:t>утвержден распоряжением</w:t>
      </w:r>
      <w:r>
        <w:t xml:space="preserve"> главы Тяжинского муниципального округа от 03.08.2022 №647-р «Об утверждении состава комиссии по принятию решений о предоставлении государственной социальной помощи в виде денежной выплаты на основании социального контракта».</w:t>
      </w:r>
    </w:p>
    <w:p w14:paraId="38000000">
      <w:pPr>
        <w:ind w:firstLine="567" w:left="0"/>
        <w:jc w:val="both"/>
        <w:rPr>
          <w:rFonts w:ascii="Times New Roman" w:hAnsi="Times New Roman"/>
          <w:b w:val="1"/>
          <w:sz w:val="28"/>
        </w:rPr>
      </w:pPr>
      <w:bookmarkStart w:id="3" w:name="_Hlk170231250"/>
      <w:bookmarkEnd w:id="3"/>
      <w:r>
        <w:t>В проверяемом периоде должность руководителя (</w:t>
      </w:r>
      <w:r>
        <w:t>начальника</w:t>
      </w:r>
      <w:r>
        <w:t>)</w:t>
      </w:r>
      <w:r>
        <w:t xml:space="preserve"> Управления социальной защиты населения администрации Тяжинского муниципального округа</w:t>
      </w:r>
      <w:r>
        <w:t>,</w:t>
      </w:r>
      <w:r>
        <w:t xml:space="preserve"> на основании распоряжения администрации Тяжинского муниципального</w:t>
      </w:r>
      <w:r>
        <w:t xml:space="preserve"> округа </w:t>
      </w:r>
      <w:r>
        <w:t>от 15</w:t>
      </w:r>
      <w:r>
        <w:t>.1</w:t>
      </w:r>
      <w:r>
        <w:t>0</w:t>
      </w:r>
      <w:r>
        <w:t>.202</w:t>
      </w:r>
      <w:r>
        <w:t>0</w:t>
      </w:r>
      <w:r>
        <w:t xml:space="preserve"> г. </w:t>
      </w:r>
      <w:r>
        <w:t xml:space="preserve">№ 97-к </w:t>
      </w:r>
      <w:r>
        <w:t>назначена Степанова Наталья Александровна</w:t>
      </w:r>
      <w:r>
        <w:t xml:space="preserve"> (</w:t>
      </w:r>
      <w:r>
        <w:t xml:space="preserve">срочный </w:t>
      </w:r>
      <w:r>
        <w:t xml:space="preserve">трудовой договор от </w:t>
      </w:r>
      <w:r>
        <w:t>15</w:t>
      </w:r>
      <w:r>
        <w:t xml:space="preserve"> </w:t>
      </w:r>
      <w:r>
        <w:t>октя</w:t>
      </w:r>
      <w:r>
        <w:t>бря 202</w:t>
      </w:r>
      <w:r>
        <w:t>0</w:t>
      </w:r>
      <w:r>
        <w:t xml:space="preserve"> г. №</w:t>
      </w:r>
      <w:r>
        <w:t>41</w:t>
      </w:r>
      <w:r>
        <w:t xml:space="preserve">). </w:t>
      </w:r>
    </w:p>
    <w:p w14:paraId="39000000">
      <w:pPr>
        <w:ind w:firstLine="567" w:left="0"/>
        <w:jc w:val="both"/>
      </w:pPr>
      <w:r>
        <w:t xml:space="preserve">В проверяемом периоде </w:t>
      </w:r>
      <w:r>
        <w:rPr>
          <w:rFonts w:ascii="Times New Roman" w:hAnsi="Times New Roman"/>
          <w:color w:val="000000"/>
          <w:sz w:val="28"/>
        </w:rPr>
        <w:t>рассмотрением заявлений об оказании государственной социальной помощи на основании социального контракта в соответствии с з</w:t>
      </w:r>
      <w:r>
        <w:rPr>
          <w:rFonts w:ascii="Times New Roman" w:hAnsi="Times New Roman"/>
          <w:color w:val="000000"/>
          <w:sz w:val="28"/>
        </w:rPr>
        <w:t>аконом Кемеровской области от 08.12.2005 г. № 140-ОЗ «О государственной социальной помощи малоимущим семьям и малоимущим одиноко проживающим гражданам»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занималась</w:t>
      </w:r>
      <w:r>
        <w:t xml:space="preserve"> </w:t>
      </w:r>
      <w:r>
        <w:rPr>
          <w:rFonts w:ascii="Tinos" w:hAnsi="Tinos"/>
          <w:color w:val="000000"/>
          <w:sz w:val="28"/>
        </w:rPr>
        <w:t>главный специалист отдела по предоставлению льгот и социальных выплат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nos" w:hAnsi="Tinos"/>
          <w:color w:val="000000"/>
          <w:sz w:val="28"/>
        </w:rPr>
        <w:t>Минькова Полина Андреевна</w:t>
      </w:r>
      <w:r>
        <w:t xml:space="preserve"> на основании Приказа (распоряжения) о приеме на работу №25-к от 20.04.2022 г. В настоящее время специалист расторгла трудовой договор (Приказ (распоряжение) о прекращении (расторжении) трудового договора с работником (увольнение) №13-к от 08.02.2024 г. </w:t>
      </w:r>
    </w:p>
    <w:p w14:paraId="3A000000">
      <w:pPr>
        <w:spacing w:after="0" w:before="0" w:line="240" w:lineRule="auto"/>
        <w:ind w:firstLine="708" w:left="0" w:right="0"/>
        <w:jc w:val="both"/>
      </w:pPr>
      <w:r>
        <w:rPr>
          <w:rFonts w:ascii="Tinos" w:hAnsi="Tinos"/>
          <w:color w:val="000000"/>
          <w:sz w:val="28"/>
        </w:rPr>
        <w:t>В обязанности Миньковой П.А. входило:</w:t>
      </w:r>
    </w:p>
    <w:p w14:paraId="3B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1.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 и консультирование граждан по вопросу предоставления льгот и социальных выплат;</w:t>
      </w:r>
    </w:p>
    <w:p w14:paraId="3C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2.</w:t>
      </w:r>
      <w:r>
        <w:t xml:space="preserve"> </w:t>
      </w:r>
      <w:r>
        <w:rPr>
          <w:rFonts w:ascii="Tinos" w:hAnsi="Tinos"/>
          <w:color w:val="000000"/>
          <w:sz w:val="28"/>
        </w:rPr>
        <w:t>Разъяснение гражданам федерального законодательства и законодательства Кемеровской области о предоставлении мер социальной поддержки по выплатам государственной социальной помощи;</w:t>
      </w:r>
    </w:p>
    <w:p w14:paraId="3D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3.</w:t>
      </w:r>
      <w:r>
        <w:t xml:space="preserve"> </w:t>
      </w:r>
      <w:r>
        <w:rPr>
          <w:rFonts w:ascii="Tinos" w:hAnsi="Tinos"/>
          <w:color w:val="000000"/>
          <w:sz w:val="28"/>
        </w:rPr>
        <w:t>Формирование в отношении каждого гражданина личного дела, в котором брошюруются документы, необходимые для принятия решения о предоставлении мер социальной поддержки;</w:t>
      </w:r>
    </w:p>
    <w:p w14:paraId="3E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4. Формирование и отправка входящих, исходящих межведомственных запросов, ответов;</w:t>
      </w:r>
    </w:p>
    <w:p w14:paraId="3F000000">
      <w:pPr>
        <w:spacing w:after="200" w:before="0" w:line="240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5.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документов, в том числе из МФЦ, рассмотрение данных документов и принятие решения о назначении государственной социальной помощи или об отказе в назначении, направление в МФЦ данных решений;</w:t>
      </w:r>
    </w:p>
    <w:p w14:paraId="40000000">
      <w:pPr>
        <w:spacing w:after="200" w:before="0" w:line="240" w:lineRule="auto"/>
        <w:ind w:firstLine="720" w:left="0" w:right="0"/>
        <w:jc w:val="both"/>
      </w:pPr>
      <w:r>
        <w:t>6. Разработка проектов программы социальной адаптации совместно с заявителем, предоставление на рассмотрение комиссии вместе с заявлением о назначении государственной социальной помощи и соответствующими документами;</w:t>
      </w:r>
    </w:p>
    <w:p w14:paraId="41000000">
      <w:pPr>
        <w:spacing w:after="200" w:before="0" w:line="240" w:lineRule="auto"/>
        <w:ind w:firstLine="709" w:left="0" w:right="0"/>
        <w:jc w:val="both"/>
      </w:pPr>
      <w:r>
        <w:rPr>
          <w:rFonts w:ascii="Tinos" w:hAnsi="Tinos"/>
          <w:color w:val="000000"/>
          <w:sz w:val="28"/>
        </w:rPr>
        <w:t>7.</w:t>
      </w:r>
      <w:r>
        <w:t xml:space="preserve"> </w:t>
      </w:r>
      <w:r>
        <w:rPr>
          <w:rFonts w:ascii="Tinos" w:hAnsi="Tinos"/>
          <w:color w:val="000000"/>
          <w:sz w:val="28"/>
        </w:rPr>
        <w:t>Прием и рассмотрение документов для принятия решения об эффективности или неэффективности использования средств, полученных на основании социального контракта.</w:t>
      </w:r>
    </w:p>
    <w:p w14:paraId="42000000">
      <w:pPr>
        <w:spacing w:line="240" w:lineRule="auto"/>
        <w:ind w:firstLine="567" w:left="0"/>
        <w:jc w:val="both"/>
      </w:pPr>
      <w:r>
        <w:t>22.01.2026 г. №03/199 в</w:t>
      </w:r>
      <w:r>
        <w:t xml:space="preserve"> адрес </w:t>
      </w:r>
      <w:r>
        <w:t xml:space="preserve">Управления социальной защиты населения администрации Тяжинского муниципального округа было направлено </w:t>
      </w:r>
      <w:r>
        <w:t xml:space="preserve">уведомление о проведении контрольного мероприятия, с приложением перечня документов и вопросов, необходимых для проведения проверки контрольной группой. </w:t>
      </w:r>
    </w:p>
    <w:p w14:paraId="43000000">
      <w:pPr>
        <w:ind w:firstLine="567" w:left="0"/>
        <w:jc w:val="both"/>
      </w:pPr>
      <w:r>
        <w:t xml:space="preserve">22.01.2026 г. </w:t>
      </w:r>
      <w:r>
        <w:t xml:space="preserve">№03/47 </w:t>
      </w:r>
      <w:r>
        <w:t xml:space="preserve">Управление социальной защиты населения администрации Тяжинского муниципального округа </w:t>
      </w:r>
      <w:r>
        <w:t>предоставило следующую информацию, согласно которой:</w:t>
      </w:r>
    </w:p>
    <w:p w14:paraId="44000000">
      <w:pPr>
        <w:ind w:firstLine="567" w:left="0"/>
        <w:jc w:val="both"/>
      </w:pPr>
      <w:r>
        <w:rPr>
          <w:rFonts w:ascii="Times New Roman" w:hAnsi="Times New Roman"/>
          <w:color w:val="000000"/>
          <w:sz w:val="28"/>
        </w:rPr>
        <w:t>01 сентября 2025 года старшим следователем Тяжинского межрайонного следственного отдела следственного управления Следственного комитета РФ по Кемеровской области в присутствии понятых были изъяты документы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(основание</w:t>
      </w:r>
      <w:r>
        <w:rPr>
          <w:rFonts w:ascii="Times New Roman" w:hAnsi="Times New Roman"/>
          <w:color w:val="000000"/>
          <w:sz w:val="28"/>
        </w:rPr>
        <w:t>: протокол обыска (выемки) от 01.09.2025 года.)</w:t>
      </w:r>
      <w:r>
        <w:rPr>
          <w:rFonts w:ascii="Times New Roman" w:hAnsi="Times New Roman"/>
          <w:color w:val="000000"/>
          <w:sz w:val="28"/>
        </w:rPr>
        <w:t>:</w:t>
      </w:r>
    </w:p>
    <w:p w14:paraId="45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1. Личное дело ................... получателя государственной социальной помощи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виде денежной выплаты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46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2. Протоколы заседания комиссии по принятию решения о предоставлении государственной социальной помощи в виде денежной выплаты на основании социального контракта малоимущим семьям и малоимущим одиноко проживающим гражданам.</w:t>
      </w:r>
    </w:p>
    <w:p w14:paraId="47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3. Личное дело Миньковой Полины Андреевны,</w:t>
      </w:r>
      <w:r>
        <w:rPr>
          <w:rFonts w:ascii="Tinos" w:hAnsi="Tinos"/>
          <w:color w:val="000000"/>
          <w:sz w:val="28"/>
        </w:rPr>
        <w:t xml:space="preserve"> главного специалиста отдела по предоставлению льгот и социальных выплат у</w:t>
      </w:r>
      <w:r>
        <w:rPr>
          <w:rFonts w:ascii="Times New Roman" w:hAnsi="Times New Roman"/>
          <w:color w:val="000000"/>
          <w:sz w:val="28"/>
        </w:rPr>
        <w:t>правления социальной защиты населения администрации Тяжинского муниципального округа.</w:t>
      </w:r>
    </w:p>
    <w:p w14:paraId="48000000">
      <w:pPr>
        <w:ind w:firstLine="567" w:lef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sz w:val="28"/>
        </w:rPr>
        <w:t>В рамках проведенной проверки было установлено, что Управление социальной защиты населения администрации Тяжинского муниципального округа не в полной мере обеспечило контрольную группу документами для проведения проверки</w:t>
      </w:r>
      <w:r>
        <w:rPr>
          <w:b w:val="0"/>
        </w:rPr>
        <w:t xml:space="preserve">, в связи с их изъятием </w:t>
      </w:r>
      <w:r>
        <w:rPr>
          <w:rFonts w:ascii="Times New Roman" w:hAnsi="Times New Roman"/>
          <w:color w:val="000000"/>
          <w:sz w:val="28"/>
        </w:rPr>
        <w:t>старшим следователем Тяжинского межрайонного следственного отдела следственного управления Следственного комитета РФ по Кемеровской области.</w:t>
      </w:r>
    </w:p>
    <w:p w14:paraId="49000000">
      <w:pPr>
        <w:ind w:firstLine="567" w:left="0"/>
        <w:jc w:val="both"/>
      </w:pPr>
      <w:r>
        <w:t>По документам, представленным контрольной группе, было установлено, что в соответствии с подпунктами 5.8.9</w:t>
      </w:r>
      <w:r>
        <w:t xml:space="preserve"> Приложения №4 к Порядку предоставления социальной выплаты,</w:t>
      </w:r>
      <w:r>
        <w:t xml:space="preserve"> члены Комиссии, ответственные за реализацию мероприятий, предусмотренных программой социальной адаптации, при необходимости вправе проводить дополнительные проверки достоверности и полноты сведений, содержащихся в документах, предоставленных гражданином в соответствии с подпунктами 5.8.1-5.8.4 Приложения №4 к Порядку предоставления социальной выплаты, путем выезда по месту реализации мероприятий программы социальной адаптации с предварительным уведомлением гражданина о дате и времени проведения указанных проверок.</w:t>
      </w:r>
    </w:p>
    <w:p w14:paraId="4A000000">
      <w:pPr>
        <w:ind w:firstLine="567" w:left="0"/>
        <w:jc w:val="both"/>
      </w:pPr>
      <w:r>
        <w:t xml:space="preserve">Результаты контроля за выполнением гражданином обязательств, предусмотренных социальным контрактом: </w:t>
      </w:r>
    </w:p>
    <w:p w14:paraId="4B000000">
      <w:pPr>
        <w:numPr>
          <w:numId w:val="5"/>
        </w:numPr>
        <w:ind w:firstLine="567" w:left="0"/>
        <w:jc w:val="both"/>
      </w:pPr>
      <w:r>
        <w:t xml:space="preserve">Посредством анализа документов, предусмотренных подпунктами 5.8.1-5.8.4, 5.8.8 Порядка о предоставлении социальной помощи, и заключения о реализации гражданином мероприятий программы социальной адаптации (далее – анализ документов контроля), оформляются результаты контроля за выполнением гражданином обязательств, предусмотренных социальным контрактом. При этом: </w:t>
      </w:r>
    </w:p>
    <w:p w14:paraId="4C000000">
      <w:pPr>
        <w:numPr>
          <w:numId w:val="6"/>
        </w:numPr>
        <w:ind w:firstLine="567" w:left="0"/>
        <w:jc w:val="both"/>
      </w:pPr>
      <w:r>
        <w:t>анализ документов контроля за выполнением гражданином обязательств, предусмотренных социальным контрактом, заключенным на реализацию мероприятия, указанного в подпункте 1.4.4 Порядка о предоставлении социальной выплаты, осуществляет уполномоченный орган;</w:t>
      </w:r>
    </w:p>
    <w:p w14:paraId="4D000000">
      <w:pPr>
        <w:numPr>
          <w:numId w:val="6"/>
        </w:numPr>
        <w:ind w:firstLine="567" w:left="0"/>
        <w:jc w:val="both"/>
      </w:pPr>
      <w:r>
        <w:t xml:space="preserve">анализ документов контроля за выполнением гражданином обязательств, </w:t>
      </w:r>
      <w:r>
        <w:t>предусмотренных социальным контрактом, заключенным на реализацию мероприятий, указанных в подпунктах 1.4.1-1.4.3 Порядка о предоставлении социальной выплаты, осуществляет Комиссия.</w:t>
      </w:r>
    </w:p>
    <w:p w14:paraId="4E000000">
      <w:pPr>
        <w:ind w:firstLine="567" w:left="0"/>
        <w:jc w:val="center"/>
      </w:pPr>
    </w:p>
    <w:p w14:paraId="4F000000">
      <w:pPr>
        <w:ind w:firstLine="567" w:left="0"/>
        <w:jc w:val="center"/>
      </w:pPr>
      <w:r>
        <w:rPr>
          <w:b w:val="1"/>
          <w:color w:val="000000"/>
        </w:rPr>
        <w:t>Рекомендации</w:t>
      </w:r>
    </w:p>
    <w:p w14:paraId="50000000">
      <w:pPr>
        <w:ind/>
        <w:jc w:val="both"/>
      </w:pPr>
      <w:r>
        <w:t xml:space="preserve">     Е</w:t>
      </w:r>
      <w:r>
        <w:t>жемесячно проводить</w:t>
      </w:r>
      <w:r>
        <w:t xml:space="preserve"> контроль за осуществлением комиссии по принятию решений о предоставлении государственной социальной помощи в виде денежной выплаты на основании социального контракта за выполнением Гражданином обязательств, предусмотренных социальным контрактом, посредством получения от Гражданина документов, указанных в подпункте 2.3</w:t>
      </w:r>
      <w:r>
        <w:t xml:space="preserve"> социального контракта.</w:t>
      </w:r>
    </w:p>
    <w:p w14:paraId="51000000">
      <w:pPr>
        <w:ind/>
        <w:jc w:val="both"/>
        <w:rPr>
          <w:rFonts w:asciiTheme="minorAscii" w:hAnsiTheme="minorHAnsi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В целях недопущения обстоятельств, способствующих совершению преступления, по выявленным фактам хищения денежных средств,  выделенных на </w:t>
      </w:r>
      <w:r>
        <w:t>предоставление государственной социальной помощи в виде денежной выплаты на основании социального контракта</w:t>
      </w:r>
      <w:r>
        <w:rPr>
          <w:color w:val="000000"/>
        </w:rPr>
        <w:t>, принять меры по устранению и дальнейшего недопущения указанных в нем нарушений и недостатков.</w:t>
      </w:r>
    </w:p>
    <w:p w14:paraId="52000000">
      <w:pPr>
        <w:ind/>
        <w:jc w:val="both"/>
      </w:pPr>
      <w:r>
        <w:t>Члены контрольной группы:</w:t>
      </w:r>
    </w:p>
    <w:p w14:paraId="53000000">
      <w:pPr>
        <w:ind/>
        <w:jc w:val="both"/>
      </w:pPr>
    </w:p>
    <w:p w14:paraId="54000000">
      <w:pPr>
        <w:ind w:firstLine="0" w:left="0"/>
        <w:jc w:val="both"/>
      </w:pPr>
      <w:r>
        <w:t>Начальник</w:t>
      </w:r>
      <w:r>
        <w:t xml:space="preserve"> </w:t>
      </w:r>
      <w:r>
        <w:t xml:space="preserve">отдела финансового </w:t>
      </w:r>
      <w:r>
        <w:t>ко</w:t>
      </w:r>
      <w:r>
        <w:t xml:space="preserve">нтроля </w:t>
      </w:r>
    </w:p>
    <w:p w14:paraId="55000000">
      <w:pPr>
        <w:ind w:firstLine="0" w:left="0"/>
        <w:jc w:val="both"/>
      </w:pPr>
      <w:r>
        <w:t>администрации Тяжинского</w:t>
      </w:r>
      <w:r>
        <w:t xml:space="preserve"> </w:t>
      </w:r>
      <w:r>
        <w:t xml:space="preserve">муниципального округа                 </w:t>
      </w:r>
      <w:r>
        <w:t xml:space="preserve"> Т.С. Панарина</w:t>
      </w:r>
    </w:p>
    <w:p w14:paraId="56000000">
      <w:pPr>
        <w:ind w:firstLine="0" w:left="0"/>
        <w:jc w:val="both"/>
      </w:pPr>
      <w:r>
        <w:t>Главный специалист по юридическим вопросам</w:t>
      </w:r>
    </w:p>
    <w:p w14:paraId="57000000">
      <w:pPr>
        <w:ind w:firstLine="0" w:left="0"/>
        <w:jc w:val="both"/>
      </w:pPr>
      <w:r>
        <w:t>администрации Тяжинского муниципального округа               Э.Ю. Торгашова</w:t>
      </w:r>
    </w:p>
    <w:p w14:paraId="58000000">
      <w:pPr>
        <w:ind/>
        <w:jc w:val="both"/>
      </w:pPr>
    </w:p>
    <w:p w14:paraId="59000000">
      <w:pPr>
        <w:ind/>
        <w:jc w:val="both"/>
      </w:pPr>
      <w:r>
        <w:rPr>
          <w:rFonts w:ascii="Times New Roman" w:hAnsi="Times New Roman"/>
          <w:sz w:val="28"/>
        </w:rPr>
        <w:t>С актом ознакомлен(а) и один экземпляр получил(а):</w:t>
      </w:r>
    </w:p>
    <w:p w14:paraId="5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социальной </w:t>
      </w:r>
    </w:p>
    <w:p w14:paraId="5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защиты </w:t>
      </w:r>
      <w:r>
        <w:rPr>
          <w:rFonts w:ascii="Times New Roman" w:hAnsi="Times New Roman"/>
          <w:sz w:val="28"/>
        </w:rPr>
        <w:t>населения</w:t>
      </w:r>
      <w:r>
        <w:rPr>
          <w:rFonts w:ascii="Times New Roman" w:hAnsi="Times New Roman"/>
          <w:sz w:val="28"/>
        </w:rPr>
        <w:t xml:space="preserve"> администрации</w:t>
      </w:r>
    </w:p>
    <w:p w14:paraId="5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Тяжинского муниципального округа                                            Н.А. Степанова</w:t>
      </w:r>
    </w:p>
    <w:p w14:paraId="5E000000">
      <w:pPr>
        <w:ind/>
        <w:jc w:val="both"/>
      </w:pPr>
      <w:r>
        <w:t>«___» _________ 20</w:t>
      </w:r>
      <w:r>
        <w:t>26</w:t>
      </w:r>
      <w:r>
        <w:t xml:space="preserve"> г. 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JurTerm"/>
    <w:link w:val="Style_4_ch"/>
    <w:pPr>
      <w:widowControl w:val="0"/>
      <w:spacing w:after="0" w:line="240" w:lineRule="auto"/>
      <w:ind/>
    </w:pPr>
    <w:rPr>
      <w:rFonts w:ascii="Tahoma" w:hAnsi="Tahoma"/>
    </w:rPr>
  </w:style>
  <w:style w:styleId="Style_4_ch" w:type="character">
    <w:name w:val="ConsPlusJurTerm"/>
    <w:link w:val="Style_4"/>
    <w:rPr>
      <w:rFonts w:ascii="Tahoma" w:hAnsi="Tahoma"/>
    </w:rPr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style3"/>
    <w:basedOn w:val="Style_2"/>
    <w:link w:val="Style_7_ch"/>
    <w:pPr>
      <w:spacing w:afterAutospacing="on" w:beforeAutospacing="on"/>
      <w:ind/>
    </w:pPr>
    <w:rPr>
      <w:sz w:val="24"/>
    </w:rPr>
  </w:style>
  <w:style w:styleId="Style_7_ch" w:type="character">
    <w:name w:val="style3"/>
    <w:basedOn w:val="Style_2_ch"/>
    <w:link w:val="Style_7"/>
    <w:rPr>
      <w:sz w:val="24"/>
    </w:rPr>
  </w:style>
  <w:style w:styleId="Style_8" w:type="paragraph">
    <w:name w:val="ConsPlusTitlePage"/>
    <w:link w:val="Style_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8_ch" w:type="character">
    <w:name w:val="ConsPlusTitlePage"/>
    <w:link w:val="Style_8"/>
    <w:rPr>
      <w:rFonts w:ascii="Tahoma" w:hAnsi="Tahoma"/>
      <w:sz w:val="20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nformat"/>
    <w:link w:val="Style_1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header"/>
    <w:basedOn w:val="Style_2"/>
    <w:link w:val="Style_14_ch"/>
    <w:pPr>
      <w:tabs>
        <w:tab w:leader="none" w:pos="4153" w:val="center"/>
        <w:tab w:leader="none" w:pos="8306" w:val="right"/>
      </w:tabs>
      <w:ind/>
    </w:pPr>
  </w:style>
  <w:style w:styleId="Style_14_ch" w:type="character">
    <w:name w:val="header"/>
    <w:basedOn w:val="Style_2_ch"/>
    <w:link w:val="Style_14"/>
  </w:style>
  <w:style w:styleId="Style_15" w:type="paragraph">
    <w:name w:val="Default"/>
    <w:link w:val="Style_15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5_ch" w:type="character">
    <w:name w:val="Default"/>
    <w:link w:val="Style_15"/>
    <w:rPr>
      <w:rFonts w:ascii="Times New Roman" w:hAnsi="Times New Roman"/>
      <w:color w:val="000000"/>
      <w:sz w:val="24"/>
    </w:rPr>
  </w:style>
  <w:style w:styleId="Style_16" w:type="paragraph">
    <w:name w:val="annotation subject"/>
    <w:basedOn w:val="Style_17"/>
    <w:next w:val="Style_17"/>
    <w:link w:val="Style_16_ch"/>
    <w:rPr>
      <w:b w:val="1"/>
    </w:rPr>
  </w:style>
  <w:style w:styleId="Style_16_ch" w:type="character">
    <w:name w:val="annotation subject"/>
    <w:basedOn w:val="Style_17_ch"/>
    <w:link w:val="Style_16"/>
    <w:rPr>
      <w:b w:val="1"/>
    </w:rPr>
  </w:style>
  <w:style w:styleId="Style_17" w:type="paragraph">
    <w:name w:val="annotation text"/>
    <w:basedOn w:val="Style_2"/>
    <w:link w:val="Style_17_ch"/>
    <w:pPr>
      <w:spacing w:after="200"/>
      <w:ind/>
    </w:pPr>
    <w:rPr>
      <w:rFonts w:asciiTheme="minorAscii" w:hAnsiTheme="minorHAnsi"/>
      <w:sz w:val="20"/>
    </w:rPr>
  </w:style>
  <w:style w:styleId="Style_17_ch" w:type="character">
    <w:name w:val="annotation text"/>
    <w:basedOn w:val="Style_2_ch"/>
    <w:link w:val="Style_17"/>
    <w:rPr>
      <w:rFonts w:asciiTheme="minorAscii" w:hAnsiTheme="minorHAnsi"/>
      <w:sz w:val="20"/>
    </w:rPr>
  </w:style>
  <w:style w:styleId="Style_18" w:type="paragraph">
    <w:name w:val="FollowedHyperlink"/>
    <w:basedOn w:val="Style_19"/>
    <w:link w:val="Style_18_ch"/>
    <w:rPr>
      <w:color w:themeColor="followedHyperlink" w:val="800080"/>
      <w:u w:val="single"/>
    </w:rPr>
  </w:style>
  <w:style w:styleId="Style_18_ch" w:type="character">
    <w:name w:val="FollowedHyperlink"/>
    <w:basedOn w:val="Style_19_ch"/>
    <w:link w:val="Style_18"/>
    <w:rPr>
      <w:color w:themeColor="followedHyperlink" w:val="800080"/>
      <w:u w:val="single"/>
    </w:rPr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1" w:type="paragraph">
    <w:name w:val="annotation reference"/>
    <w:basedOn w:val="Style_19"/>
    <w:link w:val="Style_21_ch"/>
    <w:rPr>
      <w:sz w:val="16"/>
    </w:rPr>
  </w:style>
  <w:style w:styleId="Style_21_ch" w:type="character">
    <w:name w:val="annotation reference"/>
    <w:basedOn w:val="Style_19_ch"/>
    <w:link w:val="Style_21"/>
    <w:rPr>
      <w:sz w:val="16"/>
    </w:rPr>
  </w:style>
  <w:style w:styleId="Style_22" w:type="paragraph">
    <w:name w:val="Знак Знак Знак Знак Знак Знак Знак Знак Знак Знак Знак Знак Знак"/>
    <w:basedOn w:val="Style_2"/>
    <w:next w:val="Style_2"/>
    <w:link w:val="Style_22_ch"/>
    <w:pPr>
      <w:spacing w:after="160" w:line="240" w:lineRule="exact"/>
      <w:ind/>
    </w:pPr>
    <w:rPr>
      <w:rFonts w:ascii="Arial" w:hAnsi="Arial"/>
      <w:sz w:val="20"/>
    </w:rPr>
  </w:style>
  <w:style w:styleId="Style_22_ch" w:type="character">
    <w:name w:val="Знак Знак Знак Знак Знак Знак Знак Знак Знак Знак Знак Знак Знак"/>
    <w:basedOn w:val="Style_2_ch"/>
    <w:link w:val="Style_22"/>
    <w:rPr>
      <w:rFonts w:ascii="Arial" w:hAnsi="Arial"/>
      <w:sz w:val="20"/>
    </w:rPr>
  </w:style>
  <w:style w:styleId="Style_23" w:type="paragraph">
    <w:name w:val="s_1"/>
    <w:basedOn w:val="Style_2"/>
    <w:link w:val="Style_23_ch"/>
    <w:pPr>
      <w:spacing w:afterAutospacing="on" w:beforeAutospacing="on"/>
      <w:ind/>
    </w:pPr>
    <w:rPr>
      <w:sz w:val="24"/>
    </w:rPr>
  </w:style>
  <w:style w:styleId="Style_23_ch" w:type="character">
    <w:name w:val="s_1"/>
    <w:basedOn w:val="Style_2_ch"/>
    <w:link w:val="Style_23"/>
    <w:rPr>
      <w:sz w:val="24"/>
    </w:rPr>
  </w:style>
  <w:style w:styleId="Style_24" w:type="paragraph">
    <w:name w:val="Основной текст2"/>
    <w:basedOn w:val="Style_25"/>
    <w:link w:val="Style_24_ch"/>
    <w:rPr>
      <w:rFonts w:ascii="Arial" w:hAnsi="Arial"/>
      <w:color w:val="000000"/>
      <w:spacing w:val="8"/>
      <w:sz w:val="19"/>
      <w:highlight w:val="white"/>
    </w:rPr>
  </w:style>
  <w:style w:styleId="Style_24_ch" w:type="character">
    <w:name w:val="Основной текст2"/>
    <w:basedOn w:val="Style_25_ch"/>
    <w:link w:val="Style_24"/>
    <w:rPr>
      <w:rFonts w:ascii="Arial" w:hAnsi="Arial"/>
      <w:color w:val="000000"/>
      <w:spacing w:val="8"/>
      <w:sz w:val="19"/>
      <w:highlight w:val="white"/>
    </w:rPr>
  </w:style>
  <w:style w:styleId="Style_26" w:type="paragraph">
    <w:name w:val="ConsPlusNormal"/>
    <w:link w:val="Style_2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6_ch" w:type="character">
    <w:name w:val="ConsPlusNormal"/>
    <w:link w:val="Style_26"/>
    <w:rPr>
      <w:rFonts w:ascii="Arial" w:hAnsi="Arial"/>
      <w:sz w:val="20"/>
    </w:rPr>
  </w:style>
  <w:style w:styleId="Style_27" w:type="paragraph">
    <w:name w:val="heading 5"/>
    <w:next w:val="Style_2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pboth"/>
    <w:basedOn w:val="Style_2"/>
    <w:link w:val="Style_28_ch"/>
    <w:pPr>
      <w:spacing w:afterAutospacing="on" w:beforeAutospacing="on"/>
      <w:ind/>
    </w:pPr>
    <w:rPr>
      <w:sz w:val="24"/>
    </w:rPr>
  </w:style>
  <w:style w:styleId="Style_28_ch" w:type="character">
    <w:name w:val="pboth"/>
    <w:basedOn w:val="Style_2_ch"/>
    <w:link w:val="Style_28"/>
    <w:rPr>
      <w:sz w:val="24"/>
    </w:rPr>
  </w:style>
  <w:style w:styleId="Style_29" w:type="paragraph">
    <w:name w:val="heading 1"/>
    <w:basedOn w:val="Style_2"/>
    <w:next w:val="Style_2"/>
    <w:link w:val="Style_29_ch"/>
    <w:uiPriority w:val="9"/>
    <w:qFormat/>
    <w:pPr>
      <w:keepNext w:val="1"/>
      <w:ind/>
      <w:jc w:val="center"/>
      <w:outlineLvl w:val="0"/>
    </w:pPr>
    <w:rPr>
      <w:rFonts w:ascii="Arial" w:hAnsi="Arial"/>
      <w:b w:val="1"/>
      <w:sz w:val="40"/>
    </w:rPr>
  </w:style>
  <w:style w:styleId="Style_29_ch" w:type="character">
    <w:name w:val="heading 1"/>
    <w:basedOn w:val="Style_2_ch"/>
    <w:link w:val="Style_29"/>
    <w:rPr>
      <w:rFonts w:ascii="Arial" w:hAnsi="Arial"/>
      <w:b w:val="1"/>
      <w:sz w:val="40"/>
    </w:rPr>
  </w:style>
  <w:style w:styleId="Style_30" w:type="paragraph">
    <w:name w:val="List Paragraph"/>
    <w:basedOn w:val="Style_2"/>
    <w:link w:val="Style_30_ch"/>
    <w:pPr>
      <w:spacing w:after="200" w:line="276" w:lineRule="auto"/>
      <w:ind w:firstLine="0" w:left="720"/>
      <w:contextualSpacing w:val="1"/>
    </w:pPr>
    <w:rPr>
      <w:rFonts w:asciiTheme="minorAscii" w:hAnsiTheme="minorHAnsi"/>
      <w:sz w:val="22"/>
    </w:rPr>
  </w:style>
  <w:style w:styleId="Style_30_ch" w:type="character">
    <w:name w:val="List Paragraph"/>
    <w:basedOn w:val="Style_2_ch"/>
    <w:link w:val="Style_30"/>
    <w:rPr>
      <w:rFonts w:asciiTheme="minorAscii" w:hAnsiTheme="minorHAnsi"/>
      <w:sz w:val="22"/>
    </w:rPr>
  </w:style>
  <w:style w:styleId="Style_31" w:type="paragraph">
    <w:name w:val="ConsPlusCell"/>
    <w:link w:val="Style_3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Cell"/>
    <w:link w:val="Style_31"/>
    <w:rPr>
      <w:rFonts w:ascii="Courier New" w:hAnsi="Courier New"/>
      <w:sz w:val="20"/>
    </w:rPr>
  </w:style>
  <w:style w:styleId="Style_32" w:type="paragraph">
    <w:name w:val="Balloon Text"/>
    <w:basedOn w:val="Style_2"/>
    <w:link w:val="Style_32_ch"/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Hyperlink"/>
    <w:link w:val="Style_33_ch"/>
    <w:rPr>
      <w:strike w:val="0"/>
      <w:color w:val="0000FF"/>
      <w:sz w:val="22"/>
      <w:u w:val="none"/>
    </w:rPr>
  </w:style>
  <w:style w:styleId="Style_33_ch" w:type="character">
    <w:name w:val="Hyperlink"/>
    <w:link w:val="Style_33"/>
    <w:rPr>
      <w:strike w:val="0"/>
      <w:color w:val="0000FF"/>
      <w:sz w:val="22"/>
      <w:u w:val="non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2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ConsPlusTitle"/>
    <w:link w:val="Style_3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6_ch" w:type="character">
    <w:name w:val="ConsPlusTitle"/>
    <w:link w:val="Style_36"/>
    <w:rPr>
      <w:rFonts w:ascii="Calibri" w:hAnsi="Calibri"/>
      <w:b w:val="1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apple-converted-space"/>
    <w:basedOn w:val="Style_19"/>
    <w:link w:val="Style_38_ch"/>
  </w:style>
  <w:style w:styleId="Style_38_ch" w:type="character">
    <w:name w:val="apple-converted-space"/>
    <w:basedOn w:val="Style_19_ch"/>
    <w:link w:val="Style_38"/>
  </w:style>
  <w:style w:styleId="Style_39" w:type="paragraph">
    <w:name w:val="Стиль1"/>
    <w:basedOn w:val="Style_2"/>
    <w:link w:val="Style_39_ch"/>
    <w:pPr>
      <w:ind w:firstLine="709" w:left="0"/>
      <w:jc w:val="both"/>
    </w:pPr>
  </w:style>
  <w:style w:styleId="Style_39_ch" w:type="character">
    <w:name w:val="Стиль1"/>
    <w:basedOn w:val="Style_2_ch"/>
    <w:link w:val="Style_39"/>
  </w:style>
  <w:style w:styleId="Style_40" w:type="paragraph">
    <w:name w:val="toc 9"/>
    <w:next w:val="Style_2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ConsPlusDocList"/>
    <w:link w:val="Style_4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1_ch" w:type="character">
    <w:name w:val="ConsPlusDocList"/>
    <w:link w:val="Style_41"/>
    <w:rPr>
      <w:rFonts w:ascii="Courier New" w:hAnsi="Courier New"/>
      <w:sz w:val="20"/>
    </w:rPr>
  </w:style>
  <w:style w:styleId="Style_25" w:type="paragraph">
    <w:name w:val="Основной текст7"/>
    <w:basedOn w:val="Style_2"/>
    <w:link w:val="Style_25_ch"/>
    <w:pPr>
      <w:widowControl w:val="0"/>
      <w:spacing w:line="274" w:lineRule="exact"/>
      <w:ind w:hanging="360" w:left="360"/>
      <w:jc w:val="right"/>
    </w:pPr>
    <w:rPr>
      <w:rFonts w:ascii="Arial" w:hAnsi="Arial"/>
      <w:spacing w:val="8"/>
      <w:sz w:val="19"/>
    </w:rPr>
  </w:style>
  <w:style w:styleId="Style_25_ch" w:type="character">
    <w:name w:val="Основной текст7"/>
    <w:basedOn w:val="Style_2_ch"/>
    <w:link w:val="Style_25"/>
    <w:rPr>
      <w:rFonts w:ascii="Arial" w:hAnsi="Arial"/>
      <w:spacing w:val="8"/>
      <w:sz w:val="19"/>
    </w:rPr>
  </w:style>
  <w:style w:styleId="Style_42" w:type="paragraph">
    <w:name w:val="toc 8"/>
    <w:next w:val="Style_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Абзац списка1"/>
    <w:basedOn w:val="Style_2"/>
    <w:link w:val="Style_43_ch"/>
    <w:pPr>
      <w:ind w:firstLine="0" w:left="720"/>
    </w:pPr>
  </w:style>
  <w:style w:styleId="Style_43_ch" w:type="character">
    <w:name w:val="Абзац списка1"/>
    <w:basedOn w:val="Style_2_ch"/>
    <w:link w:val="Style_43"/>
  </w:style>
  <w:style w:styleId="Style_44" w:type="paragraph">
    <w:name w:val="style2"/>
    <w:basedOn w:val="Style_2"/>
    <w:link w:val="Style_44_ch"/>
    <w:pPr>
      <w:spacing w:afterAutospacing="on" w:beforeAutospacing="on"/>
      <w:ind/>
    </w:pPr>
    <w:rPr>
      <w:sz w:val="24"/>
    </w:rPr>
  </w:style>
  <w:style w:styleId="Style_44_ch" w:type="character">
    <w:name w:val="style2"/>
    <w:basedOn w:val="Style_2_ch"/>
    <w:link w:val="Style_44"/>
    <w:rPr>
      <w:sz w:val="24"/>
    </w:rPr>
  </w:style>
  <w:style w:styleId="Style_45" w:type="paragraph">
    <w:name w:val="toc 5"/>
    <w:next w:val="Style_2"/>
    <w:link w:val="Style_4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Основной текст1"/>
    <w:basedOn w:val="Style_25"/>
    <w:link w:val="Style_46_ch"/>
    <w:rPr>
      <w:rFonts w:ascii="Arial" w:hAnsi="Arial"/>
      <w:color w:val="000000"/>
      <w:spacing w:val="8"/>
      <w:sz w:val="19"/>
      <w:highlight w:val="white"/>
      <w:u w:val="single"/>
    </w:rPr>
  </w:style>
  <w:style w:styleId="Style_46_ch" w:type="character">
    <w:name w:val="Основной текст1"/>
    <w:basedOn w:val="Style_25_ch"/>
    <w:link w:val="Style_46"/>
    <w:rPr>
      <w:rFonts w:ascii="Arial" w:hAnsi="Arial"/>
      <w:color w:val="000000"/>
      <w:spacing w:val="8"/>
      <w:sz w:val="19"/>
      <w:highlight w:val="white"/>
      <w:u w:val="single"/>
    </w:rPr>
  </w:style>
  <w:style w:styleId="Style_47" w:type="paragraph">
    <w:name w:val="Body Text Indent"/>
    <w:basedOn w:val="Style_2"/>
    <w:link w:val="Style_47_ch"/>
    <w:pPr>
      <w:spacing w:after="120"/>
      <w:ind w:firstLine="0" w:left="283"/>
    </w:pPr>
    <w:rPr>
      <w:rFonts w:ascii="Calibri" w:hAnsi="Calibri"/>
      <w:sz w:val="24"/>
    </w:rPr>
  </w:style>
  <w:style w:styleId="Style_47_ch" w:type="character">
    <w:name w:val="Body Text Indent"/>
    <w:basedOn w:val="Style_2_ch"/>
    <w:link w:val="Style_47"/>
    <w:rPr>
      <w:rFonts w:ascii="Calibri" w:hAnsi="Calibri"/>
      <w:sz w:val="24"/>
    </w:rPr>
  </w:style>
  <w:style w:styleId="Style_48" w:type="paragraph">
    <w:name w:val="Subtitle"/>
    <w:next w:val="Style_2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Title"/>
    <w:next w:val="Style_2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2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fontstyle11"/>
    <w:basedOn w:val="Style_19"/>
    <w:link w:val="Style_51_ch"/>
  </w:style>
  <w:style w:styleId="Style_51_ch" w:type="character">
    <w:name w:val="fontstyle11"/>
    <w:basedOn w:val="Style_19_ch"/>
    <w:link w:val="Style_51"/>
  </w:style>
  <w:style w:styleId="Style_52" w:type="paragraph">
    <w:name w:val="No Spacing"/>
    <w:link w:val="Style_52_ch"/>
    <w:pPr>
      <w:spacing w:after="0" w:line="240" w:lineRule="auto"/>
      <w:ind/>
    </w:pPr>
  </w:style>
  <w:style w:styleId="Style_52_ch" w:type="character">
    <w:name w:val="No Spacing"/>
    <w:link w:val="Style_52"/>
  </w:style>
  <w:style w:styleId="Style_53" w:type="paragraph">
    <w:name w:val="Основной текст (2)"/>
    <w:basedOn w:val="Style_19"/>
    <w:link w:val="Style_53_ch"/>
    <w:rPr>
      <w:rFonts w:ascii="Times New Roman" w:hAnsi="Times New Roman"/>
      <w:u w:val="none"/>
    </w:rPr>
  </w:style>
  <w:style w:styleId="Style_53_ch" w:type="character">
    <w:name w:val="Основной текст (2)"/>
    <w:basedOn w:val="Style_19_ch"/>
    <w:link w:val="Style_53"/>
    <w:rPr>
      <w:rFonts w:ascii="Times New Roman" w:hAnsi="Times New Roman"/>
      <w:u w:val="none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ind/>
      <w:jc w:val="center"/>
      <w:outlineLvl w:val="1"/>
    </w:pPr>
    <w:rPr>
      <w:rFonts w:ascii="Arial" w:hAnsi="Arial"/>
      <w:b w:val="1"/>
      <w:sz w:val="32"/>
    </w:rPr>
  </w:style>
  <w:style w:styleId="Style_54_ch" w:type="character">
    <w:name w:val="heading 2"/>
    <w:basedOn w:val="Style_2_ch"/>
    <w:link w:val="Style_54"/>
    <w:rPr>
      <w:rFonts w:ascii="Arial" w:hAnsi="Arial"/>
      <w:b w:val="1"/>
      <w:sz w:val="32"/>
    </w:rPr>
  </w:style>
  <w:style w:styleId="Style_55" w:type="paragraph">
    <w:name w:val="Strong"/>
    <w:basedOn w:val="Style_19"/>
    <w:link w:val="Style_55_ch"/>
    <w:rPr>
      <w:b w:val="1"/>
    </w:rPr>
  </w:style>
  <w:style w:styleId="Style_55_ch" w:type="character">
    <w:name w:val="Strong"/>
    <w:basedOn w:val="Style_19_ch"/>
    <w:link w:val="Style_55"/>
    <w:rPr>
      <w:b w:val="1"/>
    </w:rPr>
  </w:style>
  <w:style w:styleId="Style_5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2026-06-29T06:53:12Z</dcterms:modified>
</cp:coreProperties>
</file>