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:rsidR="007D5AB7" w:rsidRPr="00F47B3E" w:rsidRDefault="006E3C37" w:rsidP="00F47B3E">
      <w:pPr>
        <w:jc w:val="center"/>
        <w:rPr>
          <w:b/>
          <w:sz w:val="28"/>
          <w:szCs w:val="28"/>
        </w:rPr>
      </w:pPr>
      <w:r>
        <w:rPr>
          <w:b/>
        </w:rPr>
        <w:t>«малоэтажная многоквартирная жилая застройка</w:t>
      </w:r>
      <w:r w:rsidR="00E2095B">
        <w:rPr>
          <w:b/>
        </w:rPr>
        <w:t>»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о </w:t>
      </w:r>
      <w:r>
        <w:t>проведении торгов в форме открытого аукциона на право заключения дог</w:t>
      </w:r>
      <w:r w:rsidR="007B7B6D">
        <w:t xml:space="preserve">овора аренды земельного участка, расположенного 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>ь</w:t>
      </w:r>
      <w:r w:rsidR="007B7B6D">
        <w:rPr>
          <w:rFonts w:cs="Times New Roman"/>
          <w:bCs/>
        </w:rPr>
        <w:t>-Кузбасс</w:t>
      </w:r>
      <w:r w:rsidR="00185C82">
        <w:rPr>
          <w:rFonts w:cs="Times New Roman"/>
          <w:bCs/>
        </w:rPr>
        <w:t>,</w:t>
      </w:r>
      <w:r w:rsidR="007B7B6D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 xml:space="preserve"> Тяжинский</w:t>
      </w:r>
      <w:r w:rsidR="007B7B6D">
        <w:rPr>
          <w:rFonts w:cs="Times New Roman"/>
          <w:bCs/>
        </w:rPr>
        <w:t xml:space="preserve"> муниципальный </w:t>
      </w:r>
      <w:r w:rsidR="00185C82">
        <w:rPr>
          <w:rFonts w:cs="Times New Roman"/>
          <w:bCs/>
        </w:rPr>
        <w:t xml:space="preserve"> </w:t>
      </w:r>
      <w:r w:rsidR="007B7B6D">
        <w:rPr>
          <w:rFonts w:cs="Times New Roman"/>
          <w:bCs/>
        </w:rPr>
        <w:t xml:space="preserve">округ, поселок городского типа </w:t>
      </w:r>
      <w:r w:rsidR="006E3C37">
        <w:rPr>
          <w:rFonts w:cs="Times New Roman"/>
          <w:bCs/>
        </w:rPr>
        <w:t>Тяжинский, ул</w:t>
      </w:r>
      <w:r w:rsidR="009C10BA">
        <w:rPr>
          <w:rFonts w:cs="Times New Roman"/>
          <w:bCs/>
        </w:rPr>
        <w:t>ица Чехова, земельный участок 37</w:t>
      </w:r>
      <w:r w:rsidR="00665963">
        <w:rPr>
          <w:rFonts w:cs="Times New Roman"/>
          <w:bCs/>
        </w:rPr>
        <w:t>.</w:t>
      </w:r>
    </w:p>
    <w:p w:rsidR="007D5AB7" w:rsidRPr="009D44FB" w:rsidRDefault="00285DF6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b/>
        </w:rPr>
        <w:t xml:space="preserve">  </w:t>
      </w:r>
      <w:r w:rsidR="007D5AB7" w:rsidRPr="009D44FB">
        <w:rPr>
          <w:b/>
        </w:rPr>
        <w:t>Основание проведения торгов</w:t>
      </w:r>
      <w:r w:rsidR="007D5AB7" w:rsidRPr="009D44FB">
        <w:t xml:space="preserve"> – </w:t>
      </w:r>
      <w:r w:rsidR="007D5AB7">
        <w:t xml:space="preserve"> </w:t>
      </w:r>
      <w:r w:rsidR="007D5AB7" w:rsidRPr="009D44FB">
        <w:t xml:space="preserve">распоряжение администрации Тяжинского муниципального </w:t>
      </w:r>
      <w:r w:rsidR="00EF081D" w:rsidRPr="00285DF6">
        <w:t>округа</w:t>
      </w:r>
      <w:r w:rsidR="007D5AB7" w:rsidRPr="00285DF6">
        <w:t xml:space="preserve"> № </w:t>
      </w:r>
      <w:r w:rsidR="009C10BA">
        <w:t>617</w:t>
      </w:r>
      <w:r w:rsidR="006E3C37">
        <w:t>-р  от 22.07</w:t>
      </w:r>
      <w:r w:rsidR="000A4EBB" w:rsidRPr="00285DF6">
        <w:t>.2022</w:t>
      </w:r>
      <w:r w:rsidR="0022206F" w:rsidRPr="00285DF6">
        <w:t>г.</w:t>
      </w:r>
      <w:r w:rsidR="0022206F">
        <w:t xml:space="preserve"> </w:t>
      </w:r>
      <w:r w:rsidR="007D5AB7" w:rsidRPr="009D44FB">
        <w:t xml:space="preserve"> «</w:t>
      </w:r>
      <w:r w:rsidR="007D5AB7">
        <w:t>О проведен</w:t>
      </w:r>
      <w:proofErr w:type="gramStart"/>
      <w:r w:rsidR="007D5AB7">
        <w:t>ии ау</w:t>
      </w:r>
      <w:proofErr w:type="gramEnd"/>
      <w:r w:rsidR="007D5AB7">
        <w:t>кциона на право заключения договора аренды земельного участка</w:t>
      </w:r>
      <w:r w:rsidR="006E3C37">
        <w:t xml:space="preserve"> под малоэтажную многоквартирную жилую застройку</w:t>
      </w:r>
      <w:r w:rsidR="007D5AB7">
        <w:t xml:space="preserve">, расположенного по адресу: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</w:t>
      </w:r>
      <w:r w:rsidR="009C10BA">
        <w:rPr>
          <w:rFonts w:cs="Times New Roman"/>
          <w:bCs/>
        </w:rPr>
        <w:t>ица Чехова, земельный участок 37</w:t>
      </w:r>
      <w:r w:rsidR="007B7B6D">
        <w:rPr>
          <w:rFonts w:cs="Times New Roman"/>
          <w:bCs/>
        </w:rPr>
        <w:t>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285DF6" w:rsidP="00285DF6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proofErr w:type="gramStart"/>
      <w:r w:rsidR="007D5AB7">
        <w:t xml:space="preserve">Земельный участок площадью </w:t>
      </w:r>
      <w:r w:rsidR="009455BD">
        <w:t xml:space="preserve"> </w:t>
      </w:r>
      <w:r w:rsidR="009C10BA">
        <w:t>2318</w:t>
      </w:r>
      <w:r w:rsidR="00644B84">
        <w:t xml:space="preserve"> </w:t>
      </w:r>
      <w:proofErr w:type="spellStart"/>
      <w:r w:rsidR="007D5AB7">
        <w:t>кв.м</w:t>
      </w:r>
      <w:proofErr w:type="spellEnd"/>
      <w:r w:rsidR="007D5AB7">
        <w:t>.,</w:t>
      </w:r>
      <w:r w:rsidR="00F415F9">
        <w:t xml:space="preserve"> кад</w:t>
      </w:r>
      <w:r w:rsidR="00185C82">
        <w:t>астровый</w:t>
      </w:r>
      <w:r w:rsidR="00E2095B">
        <w:t xml:space="preserve"> </w:t>
      </w:r>
      <w:r w:rsidR="009C10BA">
        <w:t>номер: 42:15:0103004:1793</w:t>
      </w:r>
      <w:r w:rsidR="007D5AB7">
        <w:t>, категория</w:t>
      </w:r>
      <w:r w:rsidR="00E2095B">
        <w:t xml:space="preserve"> земель - </w:t>
      </w:r>
      <w:r w:rsidR="007D5AB7">
        <w:t xml:space="preserve"> земли населенных пунктов,</w:t>
      </w:r>
      <w:r w:rsidR="00E2095B">
        <w:t xml:space="preserve"> вид разрешенного использования</w:t>
      </w:r>
      <w:r w:rsidR="007D5AB7">
        <w:t xml:space="preserve"> </w:t>
      </w:r>
      <w:r w:rsidR="00E2095B">
        <w:t xml:space="preserve">– </w:t>
      </w:r>
      <w:r w:rsidR="006E3C37">
        <w:t>многоквартирная малоэтажная жилая застройка</w:t>
      </w:r>
      <w:r w:rsidR="00A254D8">
        <w:t xml:space="preserve"> (код </w:t>
      </w:r>
      <w:r w:rsidR="006E3C37">
        <w:t>вида 2.1.1</w:t>
      </w:r>
      <w:r w:rsidR="00185C82">
        <w:t>.</w:t>
      </w:r>
      <w:r w:rsidR="00A254D8">
        <w:t>)</w:t>
      </w:r>
      <w:r w:rsidR="007D5AB7">
        <w:t xml:space="preserve">, </w:t>
      </w:r>
      <w:r w:rsidR="007D5AB7" w:rsidRPr="008627AA">
        <w:t xml:space="preserve"> </w:t>
      </w:r>
      <w:r w:rsidR="007D5AB7">
        <w:t xml:space="preserve">расположен по адресу: </w:t>
      </w:r>
      <w:r w:rsidR="00EF081D">
        <w:t xml:space="preserve">652240, </w:t>
      </w:r>
      <w:r w:rsidRPr="005F0AEA">
        <w:t xml:space="preserve">Российская Федерация, </w:t>
      </w:r>
      <w:r w:rsidRPr="00F415F9">
        <w:rPr>
          <w:rFonts w:cs="Times New Roman"/>
          <w:bCs/>
        </w:rPr>
        <w:t>Кемеровская област</w:t>
      </w:r>
      <w:r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</w:t>
      </w:r>
      <w:r w:rsidR="009C10BA">
        <w:rPr>
          <w:rFonts w:cs="Times New Roman"/>
          <w:bCs/>
        </w:rPr>
        <w:t>ица Чехова, земельный участок 37</w:t>
      </w:r>
      <w:r>
        <w:rPr>
          <w:rFonts w:cs="Times New Roman"/>
          <w:bCs/>
        </w:rPr>
        <w:t>,</w:t>
      </w:r>
      <w:r w:rsidR="00A7549B" w:rsidRPr="00A7549B">
        <w:t xml:space="preserve"> </w:t>
      </w:r>
      <w:r>
        <w:t xml:space="preserve">находящийся </w:t>
      </w:r>
      <w:r w:rsidR="007D5AB7">
        <w:t xml:space="preserve"> в муниципальной собственности</w:t>
      </w:r>
      <w:r w:rsidR="00CB5EBB">
        <w:t>, государственная собственность на который не разграничена</w:t>
      </w:r>
      <w:r w:rsidR="007D5AB7">
        <w:t>.</w:t>
      </w:r>
      <w:proofErr w:type="gramEnd"/>
      <w:r w:rsidR="007D5AB7" w:rsidRPr="00E44368">
        <w:t xml:space="preserve"> Обременений нет.</w:t>
      </w:r>
      <w:r w:rsidR="007D5AB7"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9D41D9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9D41D9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 w:rsidR="00ED6044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 этажа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9D41D9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городского ти</w:t>
      </w:r>
      <w:r w:rsidR="009D41D9">
        <w:rPr>
          <w:rFonts w:cs="Times New Roman"/>
          <w:bCs/>
        </w:rPr>
        <w:t>па Тяжинский, ул</w:t>
      </w:r>
      <w:r w:rsidR="009C10BA">
        <w:rPr>
          <w:rFonts w:cs="Times New Roman"/>
          <w:bCs/>
        </w:rPr>
        <w:t>ица Чехова, земельный участок 37</w:t>
      </w:r>
      <w:r w:rsidR="007B7B6D">
        <w:rPr>
          <w:rFonts w:cs="Times New Roman"/>
          <w:bCs/>
        </w:rPr>
        <w:t xml:space="preserve">,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</w:t>
      </w:r>
      <w:r w:rsidRPr="00CD59DB">
        <w:lastRenderedPageBreak/>
        <w:t>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9D41D9">
        <w:t>01.08</w:t>
      </w:r>
      <w:r w:rsidR="00F67997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9D41D9">
        <w:t>30.08</w:t>
      </w:r>
      <w:r w:rsidR="00665963">
        <w:t>.2022</w:t>
      </w:r>
      <w:r w:rsidRPr="00652454">
        <w:t xml:space="preserve"> (включительно)</w:t>
      </w:r>
    </w:p>
    <w:p w:rsidR="007D5AB7" w:rsidRPr="000E6C62" w:rsidRDefault="009455BD" w:rsidP="00F47B3E">
      <w:pPr>
        <w:jc w:val="both"/>
      </w:pPr>
      <w:r>
        <w:t xml:space="preserve">            </w:t>
      </w:r>
      <w:r w:rsidR="007D5AB7" w:rsidRPr="00E44368">
        <w:t xml:space="preserve">Заявки принимаются </w:t>
      </w:r>
      <w:r w:rsidR="006827EB">
        <w:t xml:space="preserve">на бумажном носителе </w:t>
      </w:r>
      <w:r w:rsidR="007D5AB7" w:rsidRPr="00E44368">
        <w:t xml:space="preserve">по рабочим дням </w:t>
      </w:r>
      <w:r w:rsidR="007D5AB7" w:rsidRPr="000E6C62">
        <w:t xml:space="preserve">с </w:t>
      </w:r>
      <w:r w:rsidR="007D5AB7">
        <w:t>9.00</w:t>
      </w:r>
      <w:r w:rsidR="001A2759">
        <w:t xml:space="preserve"> до 16</w:t>
      </w:r>
      <w:r w:rsidR="007D5AB7" w:rsidRPr="000E6C62">
        <w:t>.</w:t>
      </w:r>
      <w:r w:rsidR="007D5AB7">
        <w:t>00</w:t>
      </w:r>
      <w:r w:rsidR="007D5AB7" w:rsidRPr="000E6C62">
        <w:t xml:space="preserve"> (</w:t>
      </w:r>
      <w:r w:rsidR="00F67997">
        <w:t>по местному времени</w:t>
      </w:r>
      <w:r w:rsidR="007D5AB7" w:rsidRPr="000E6C62">
        <w:t>) по ад</w:t>
      </w:r>
      <w:r w:rsidR="007D5AB7">
        <w:t xml:space="preserve">ресу: Кемеровская область,  </w:t>
      </w:r>
      <w:proofErr w:type="spellStart"/>
      <w:r w:rsidR="007D5AB7">
        <w:t>пгт</w:t>
      </w:r>
      <w:proofErr w:type="spellEnd"/>
      <w:r w:rsidR="007D5AB7">
        <w:t xml:space="preserve"> </w:t>
      </w:r>
      <w:r w:rsidR="007D5AB7" w:rsidRPr="000E6C62">
        <w:t xml:space="preserve">Тяжинский  ул. </w:t>
      </w:r>
      <w:r w:rsidR="007D5AB7">
        <w:t>Октябрьская, 9</w:t>
      </w:r>
      <w:r w:rsidR="007D5AB7" w:rsidRPr="000E6C62">
        <w:t xml:space="preserve"> (</w:t>
      </w:r>
      <w:r w:rsidR="007D5AB7">
        <w:t>КУМИ</w:t>
      </w:r>
      <w:r w:rsidR="007D5AB7" w:rsidRPr="000E6C62">
        <w:t>), контактный телефон (384-49) 2</w:t>
      </w:r>
      <w:r w:rsidR="007D5AB7">
        <w:t>1</w:t>
      </w:r>
      <w:r w:rsidR="007D5AB7" w:rsidRPr="000E6C62">
        <w:t>-</w:t>
      </w:r>
      <w:r w:rsidR="007D5AB7">
        <w:t>1</w:t>
      </w:r>
      <w:r w:rsidR="007D5AB7" w:rsidRPr="000E6C62">
        <w:t>-</w:t>
      </w:r>
      <w:r w:rsidR="00F67997">
        <w:t>72.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9D41D9">
        <w:rPr>
          <w:szCs w:val="24"/>
        </w:rPr>
        <w:t>02.09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F718D4">
        <w:rPr>
          <w:i/>
          <w:szCs w:val="24"/>
          <w:u w:val="single"/>
        </w:rPr>
        <w:t>3</w:t>
      </w:r>
      <w:r w:rsidR="001A2759">
        <w:rPr>
          <w:i/>
          <w:szCs w:val="24"/>
          <w:u w:val="single"/>
        </w:rPr>
        <w:t xml:space="preserve"> час.0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область,  </w:t>
      </w:r>
      <w:proofErr w:type="spellStart"/>
      <w:r w:rsidRPr="00E44368">
        <w:rPr>
          <w:szCs w:val="24"/>
        </w:rPr>
        <w:t>пгт</w:t>
      </w:r>
      <w:proofErr w:type="spell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F718D4">
        <w:rPr>
          <w:i/>
          <w:szCs w:val="24"/>
          <w:u w:val="single"/>
        </w:rPr>
        <w:t>2</w:t>
      </w:r>
      <w:r w:rsidRPr="000E6C62">
        <w:rPr>
          <w:i/>
          <w:szCs w:val="24"/>
          <w:u w:val="single"/>
        </w:rPr>
        <w:t xml:space="preserve"> час.</w:t>
      </w:r>
      <w:r w:rsidR="001A2759">
        <w:rPr>
          <w:i/>
          <w:szCs w:val="24"/>
          <w:u w:val="single"/>
        </w:rPr>
        <w:t xml:space="preserve"> 3</w:t>
      </w:r>
      <w:r>
        <w:rPr>
          <w:i/>
          <w:szCs w:val="24"/>
          <w:u w:val="single"/>
        </w:rPr>
        <w:t>0 мин. до 1</w:t>
      </w:r>
      <w:r w:rsidR="00F718D4">
        <w:rPr>
          <w:i/>
          <w:szCs w:val="24"/>
          <w:u w:val="single"/>
        </w:rPr>
        <w:t>2</w:t>
      </w:r>
      <w:r w:rsidRPr="000E6C62">
        <w:rPr>
          <w:i/>
          <w:szCs w:val="24"/>
          <w:u w:val="single"/>
        </w:rPr>
        <w:t xml:space="preserve"> час</w:t>
      </w:r>
      <w:r w:rsidR="001A2759">
        <w:rPr>
          <w:i/>
          <w:szCs w:val="24"/>
          <w:u w:val="single"/>
        </w:rPr>
        <w:t>. 5</w:t>
      </w:r>
      <w:r w:rsidR="003C44C9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Pr="00F762AE" w:rsidRDefault="007D5AB7" w:rsidP="009D41D9">
      <w:pPr>
        <w:pStyle w:val="ab"/>
        <w:ind w:firstLine="708"/>
        <w:jc w:val="both"/>
        <w:rPr>
          <w:bCs/>
          <w:sz w:val="24"/>
          <w:szCs w:val="24"/>
        </w:rPr>
      </w:pPr>
      <w:r w:rsidRPr="00F762AE">
        <w:rPr>
          <w:b/>
          <w:bCs/>
          <w:sz w:val="24"/>
          <w:szCs w:val="24"/>
        </w:rPr>
        <w:t>Начальная цена аукциона</w:t>
      </w:r>
      <w:r w:rsidR="00A51FF3" w:rsidRPr="00F762AE">
        <w:rPr>
          <w:b/>
          <w:bCs/>
          <w:sz w:val="24"/>
          <w:szCs w:val="24"/>
        </w:rPr>
        <w:t xml:space="preserve"> </w:t>
      </w:r>
      <w:r w:rsidR="00A51FF3" w:rsidRPr="00F762AE">
        <w:rPr>
          <w:bCs/>
          <w:sz w:val="24"/>
          <w:szCs w:val="24"/>
        </w:rPr>
        <w:t>(годовая арендная плата)</w:t>
      </w:r>
      <w:r w:rsidR="00A51FF3" w:rsidRPr="00F762AE">
        <w:rPr>
          <w:b/>
          <w:bCs/>
          <w:sz w:val="24"/>
          <w:szCs w:val="24"/>
        </w:rPr>
        <w:t xml:space="preserve"> </w:t>
      </w:r>
      <w:r w:rsidRPr="00F762AE">
        <w:rPr>
          <w:b/>
          <w:bCs/>
          <w:sz w:val="24"/>
          <w:szCs w:val="24"/>
        </w:rPr>
        <w:t xml:space="preserve"> </w:t>
      </w:r>
      <w:r w:rsidRPr="00F762AE">
        <w:rPr>
          <w:sz w:val="24"/>
          <w:szCs w:val="24"/>
        </w:rPr>
        <w:t>составляет</w:t>
      </w:r>
      <w:r w:rsidR="00F762AE" w:rsidRPr="00F762AE">
        <w:rPr>
          <w:sz w:val="24"/>
          <w:szCs w:val="24"/>
        </w:rPr>
        <w:t xml:space="preserve"> </w:t>
      </w:r>
      <w:r w:rsidR="00F762AE" w:rsidRPr="00F762AE">
        <w:rPr>
          <w:b/>
          <w:sz w:val="24"/>
          <w:szCs w:val="24"/>
        </w:rPr>
        <w:t>26</w:t>
      </w:r>
      <w:r w:rsidR="00F762AE">
        <w:rPr>
          <w:b/>
          <w:sz w:val="24"/>
          <w:szCs w:val="24"/>
        </w:rPr>
        <w:t xml:space="preserve"> </w:t>
      </w:r>
      <w:r w:rsidR="00F762AE" w:rsidRPr="00F762AE">
        <w:rPr>
          <w:b/>
          <w:sz w:val="24"/>
          <w:szCs w:val="24"/>
        </w:rPr>
        <w:t>587 (двадцать шесть тысяч пятьсот восемьдесят семь) рублей 46 копеек</w:t>
      </w:r>
      <w:r w:rsidR="003C737A" w:rsidRPr="00F762AE">
        <w:rPr>
          <w:sz w:val="24"/>
          <w:szCs w:val="24"/>
        </w:rPr>
        <w:t xml:space="preserve">, </w:t>
      </w:r>
      <w:r w:rsidR="009D41D9" w:rsidRPr="00F762AE">
        <w:rPr>
          <w:bCs/>
          <w:sz w:val="24"/>
          <w:szCs w:val="24"/>
        </w:rPr>
        <w:t>что составляет 10</w:t>
      </w:r>
      <w:r w:rsidR="003C737A" w:rsidRPr="00F762AE">
        <w:rPr>
          <w:bCs/>
          <w:sz w:val="24"/>
          <w:szCs w:val="24"/>
        </w:rPr>
        <w:t xml:space="preserve"> % </w:t>
      </w:r>
      <w:r w:rsidR="00A51FF3" w:rsidRPr="00F762AE">
        <w:rPr>
          <w:bCs/>
          <w:sz w:val="24"/>
          <w:szCs w:val="24"/>
        </w:rPr>
        <w:t>от кадастровой стоимости земельного участка</w:t>
      </w:r>
      <w:r w:rsidR="00303C10" w:rsidRPr="00F762AE">
        <w:rPr>
          <w:bCs/>
          <w:sz w:val="24"/>
          <w:szCs w:val="24"/>
        </w:rPr>
        <w:t>.</w:t>
      </w:r>
      <w:r w:rsidR="00A51FF3" w:rsidRPr="00F762AE">
        <w:rPr>
          <w:bCs/>
          <w:sz w:val="24"/>
          <w:szCs w:val="24"/>
        </w:rPr>
        <w:t xml:space="preserve"> </w:t>
      </w:r>
    </w:p>
    <w:p w:rsidR="007D5AB7" w:rsidRPr="00F762AE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F762AE">
        <w:rPr>
          <w:b/>
          <w:bCs/>
          <w:sz w:val="24"/>
          <w:szCs w:val="24"/>
        </w:rPr>
        <w:t>Шаг аукциона –</w:t>
      </w:r>
      <w:r w:rsidR="00841E5D" w:rsidRPr="00F762AE">
        <w:rPr>
          <w:b/>
          <w:bCs/>
          <w:sz w:val="24"/>
          <w:szCs w:val="24"/>
        </w:rPr>
        <w:t xml:space="preserve"> </w:t>
      </w:r>
      <w:r w:rsidR="00F762AE" w:rsidRPr="00F762AE">
        <w:rPr>
          <w:b/>
          <w:sz w:val="24"/>
          <w:szCs w:val="24"/>
        </w:rPr>
        <w:t>797 (семьсот девяносто семь) рублей 62 копейки</w:t>
      </w:r>
      <w:r w:rsidRPr="00F762AE">
        <w:rPr>
          <w:sz w:val="24"/>
          <w:szCs w:val="24"/>
        </w:rPr>
        <w:t xml:space="preserve">, что составляет </w:t>
      </w:r>
      <w:r w:rsidR="00851E1D" w:rsidRPr="00F762AE">
        <w:rPr>
          <w:sz w:val="24"/>
          <w:szCs w:val="24"/>
        </w:rPr>
        <w:t>3</w:t>
      </w:r>
      <w:r w:rsidRPr="00F762AE">
        <w:rPr>
          <w:sz w:val="24"/>
          <w:szCs w:val="24"/>
        </w:rPr>
        <w:t xml:space="preserve"> % начальной цены </w:t>
      </w:r>
      <w:r w:rsidR="00A51FF3" w:rsidRPr="00F762AE">
        <w:rPr>
          <w:sz w:val="24"/>
          <w:szCs w:val="24"/>
        </w:rPr>
        <w:t xml:space="preserve">аукциона (годовой </w:t>
      </w:r>
      <w:r w:rsidRPr="00F762AE">
        <w:rPr>
          <w:sz w:val="24"/>
          <w:szCs w:val="24"/>
        </w:rPr>
        <w:t>арендной платы</w:t>
      </w:r>
      <w:r w:rsidR="00A51FF3" w:rsidRPr="00F762AE">
        <w:rPr>
          <w:sz w:val="24"/>
          <w:szCs w:val="24"/>
        </w:rPr>
        <w:t xml:space="preserve">) </w:t>
      </w:r>
      <w:r w:rsidRPr="00F762AE">
        <w:rPr>
          <w:sz w:val="24"/>
          <w:szCs w:val="24"/>
        </w:rPr>
        <w:t>и остается единым в течение всего аукциона.</w:t>
      </w:r>
    </w:p>
    <w:p w:rsidR="007D5AB7" w:rsidRPr="00F762AE" w:rsidRDefault="007D5AB7" w:rsidP="00B56C9D">
      <w:pPr>
        <w:pStyle w:val="a9"/>
        <w:ind w:firstLine="851"/>
        <w:rPr>
          <w:b/>
          <w:bCs/>
          <w:szCs w:val="24"/>
        </w:rPr>
      </w:pPr>
      <w:r w:rsidRPr="00F762AE">
        <w:rPr>
          <w:szCs w:val="24"/>
        </w:rPr>
        <w:t xml:space="preserve">Для участия в аукционе претендент вносит </w:t>
      </w:r>
      <w:r w:rsidR="00A140A5" w:rsidRPr="00F762AE">
        <w:rPr>
          <w:szCs w:val="24"/>
        </w:rPr>
        <w:t xml:space="preserve">до </w:t>
      </w:r>
      <w:r w:rsidR="00841E5D" w:rsidRPr="00F762AE">
        <w:rPr>
          <w:szCs w:val="24"/>
        </w:rPr>
        <w:t>30.08</w:t>
      </w:r>
      <w:r w:rsidR="00665963" w:rsidRPr="00F762AE">
        <w:rPr>
          <w:szCs w:val="24"/>
        </w:rPr>
        <w:t>.2022</w:t>
      </w:r>
      <w:r w:rsidR="00A140A5" w:rsidRPr="00F762AE">
        <w:rPr>
          <w:szCs w:val="24"/>
        </w:rPr>
        <w:t xml:space="preserve"> г.</w:t>
      </w:r>
      <w:r w:rsidR="006C735B" w:rsidRPr="00F762AE">
        <w:rPr>
          <w:szCs w:val="24"/>
        </w:rPr>
        <w:t xml:space="preserve"> </w:t>
      </w:r>
      <w:r w:rsidR="000A4EBB" w:rsidRPr="00F762AE">
        <w:rPr>
          <w:szCs w:val="24"/>
        </w:rPr>
        <w:t>(</w:t>
      </w:r>
      <w:r w:rsidR="006C735B" w:rsidRPr="00F762AE">
        <w:rPr>
          <w:szCs w:val="24"/>
        </w:rPr>
        <w:t>включительно</w:t>
      </w:r>
      <w:r w:rsidR="000A4EBB" w:rsidRPr="00F762AE">
        <w:rPr>
          <w:szCs w:val="24"/>
        </w:rPr>
        <w:t>)</w:t>
      </w:r>
      <w:r w:rsidR="00A140A5" w:rsidRPr="00F762AE">
        <w:rPr>
          <w:szCs w:val="24"/>
        </w:rPr>
        <w:t xml:space="preserve"> </w:t>
      </w:r>
      <w:r w:rsidRPr="00F762AE">
        <w:rPr>
          <w:szCs w:val="24"/>
        </w:rPr>
        <w:t xml:space="preserve">задаток в соответствии с договором о задатке в </w:t>
      </w:r>
      <w:r w:rsidR="00F762AE">
        <w:rPr>
          <w:szCs w:val="24"/>
        </w:rPr>
        <w:t xml:space="preserve">сумме </w:t>
      </w:r>
      <w:r w:rsidR="00F762AE" w:rsidRPr="00F762AE">
        <w:rPr>
          <w:b/>
          <w:szCs w:val="24"/>
        </w:rPr>
        <w:t>5317 (пять тысяч триста семнадцать) рублей 50 копеек</w:t>
      </w:r>
      <w:r w:rsidR="00F762AE" w:rsidRPr="00F762AE">
        <w:rPr>
          <w:szCs w:val="24"/>
        </w:rPr>
        <w:t>,</w:t>
      </w:r>
      <w:r w:rsidR="003C737A" w:rsidRPr="00F762AE">
        <w:rPr>
          <w:szCs w:val="24"/>
        </w:rPr>
        <w:t xml:space="preserve"> </w:t>
      </w:r>
      <w:r w:rsidR="003C44C9" w:rsidRPr="00F762AE">
        <w:rPr>
          <w:bCs/>
          <w:szCs w:val="24"/>
        </w:rPr>
        <w:t>что составляет 2</w:t>
      </w:r>
      <w:r w:rsidR="003C737A" w:rsidRPr="00F762AE">
        <w:rPr>
          <w:bCs/>
          <w:szCs w:val="24"/>
        </w:rPr>
        <w:t xml:space="preserve">0 % начальной цены аукциона. </w:t>
      </w:r>
    </w:p>
    <w:p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</w:t>
      </w:r>
      <w:bookmarkStart w:id="0" w:name="_GoBack"/>
      <w:bookmarkEnd w:id="0"/>
      <w:r w:rsidRPr="000A4EBB">
        <w:rPr>
          <w:szCs w:val="24"/>
        </w:rPr>
        <w:t>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p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proofErr w:type="gramStart"/>
      <w:r w:rsidRPr="00AA0E23">
        <w:rPr>
          <w:b/>
          <w:sz w:val="24"/>
          <w:szCs w:val="28"/>
        </w:rPr>
        <w:t>л</w:t>
      </w:r>
      <w:proofErr w:type="gramEnd"/>
      <w:r w:rsidRPr="00AA0E23">
        <w:rPr>
          <w:b/>
          <w:sz w:val="24"/>
          <w:szCs w:val="28"/>
        </w:rPr>
        <w:t>/с 05393206850</w:t>
      </w:r>
      <w:r w:rsidR="00B56C9D">
        <w:rPr>
          <w:b/>
          <w:sz w:val="24"/>
          <w:szCs w:val="28"/>
        </w:rPr>
        <w:t>;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proofErr w:type="gramStart"/>
      <w:r>
        <w:rPr>
          <w:sz w:val="24"/>
          <w:szCs w:val="28"/>
        </w:rPr>
        <w:t>р</w:t>
      </w:r>
      <w:proofErr w:type="gramEnd"/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>Назначение платежа: внесение задатка по аукциону №</w:t>
      </w:r>
      <w:r w:rsidR="00C74779">
        <w:rPr>
          <w:bCs/>
        </w:rPr>
        <w:t>____________</w:t>
      </w:r>
      <w:r w:rsidRPr="000A4EBB">
        <w:rPr>
          <w:bCs/>
        </w:rPr>
        <w:t xml:space="preserve">  , адрес объекта: </w:t>
      </w:r>
      <w:proofErr w:type="spellStart"/>
      <w:r w:rsidRPr="000A4EBB">
        <w:rPr>
          <w:bCs/>
        </w:rPr>
        <w:t>пг</w:t>
      </w:r>
      <w:r w:rsidR="00841E5D">
        <w:rPr>
          <w:bCs/>
        </w:rPr>
        <w:t>т</w:t>
      </w:r>
      <w:proofErr w:type="spellEnd"/>
      <w:r w:rsidR="00841E5D">
        <w:rPr>
          <w:bCs/>
        </w:rPr>
        <w:t xml:space="preserve"> Тяжинский, </w:t>
      </w:r>
      <w:proofErr w:type="spellStart"/>
      <w:r w:rsidR="00841E5D">
        <w:rPr>
          <w:bCs/>
        </w:rPr>
        <w:t>ул</w:t>
      </w:r>
      <w:proofErr w:type="gramStart"/>
      <w:r w:rsidR="00841E5D">
        <w:rPr>
          <w:bCs/>
        </w:rPr>
        <w:t>.Ч</w:t>
      </w:r>
      <w:proofErr w:type="gramEnd"/>
      <w:r w:rsidR="00841E5D">
        <w:rPr>
          <w:bCs/>
        </w:rPr>
        <w:t>ехова</w:t>
      </w:r>
      <w:proofErr w:type="spellEnd"/>
      <w:r w:rsidR="00C74779">
        <w:rPr>
          <w:bCs/>
        </w:rPr>
        <w:t xml:space="preserve">, </w:t>
      </w:r>
      <w:r w:rsidR="00841E5D">
        <w:rPr>
          <w:bCs/>
        </w:rPr>
        <w:t>земельный участок 35</w:t>
      </w:r>
      <w:r w:rsidR="00C74779">
        <w:rPr>
          <w:bCs/>
        </w:rPr>
        <w:t>.</w:t>
      </w:r>
    </w:p>
    <w:p w:rsidR="000A4EBB" w:rsidRPr="00E44368" w:rsidRDefault="000A4EBB" w:rsidP="00F47B3E">
      <w:pPr>
        <w:ind w:firstLine="851"/>
        <w:jc w:val="both"/>
      </w:pPr>
    </w:p>
    <w:p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</w:t>
      </w:r>
      <w:r w:rsidRPr="004F72FD">
        <w:lastRenderedPageBreak/>
        <w:t xml:space="preserve">задаток подлежит возврату в срок не </w:t>
      </w:r>
      <w:proofErr w:type="gramStart"/>
      <w:r w:rsidRPr="004F72FD">
        <w:t>позднее</w:t>
      </w:r>
      <w:proofErr w:type="gramEnd"/>
      <w:r w:rsidRPr="004F72FD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</w:t>
      </w:r>
      <w:proofErr w:type="gramStart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ии ау</w:t>
      </w:r>
      <w:proofErr w:type="gramEnd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ии ау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</w:t>
      </w:r>
      <w:proofErr w:type="gramStart"/>
      <w:r>
        <w:t>ии ау</w:t>
      </w:r>
      <w:proofErr w:type="gramEnd"/>
      <w:r>
        <w:t>кциона в сроки, предусмотренные гражданским законодательством Российской Федерации.</w:t>
      </w:r>
    </w:p>
    <w:p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</w:t>
      </w:r>
      <w:r>
        <w:lastRenderedPageBreak/>
        <w:t>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5) сведения о последнем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предложении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В 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Не допускается заключение указанных договоров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ранее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, возмещение расходов, связанных с выполнением кадастровых работ в отношении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8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F7F" w:rsidRDefault="006B5F7F">
      <w:r>
        <w:separator/>
      </w:r>
    </w:p>
  </w:endnote>
  <w:endnote w:type="continuationSeparator" w:id="0">
    <w:p w:rsidR="006B5F7F" w:rsidRDefault="006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F7F" w:rsidRDefault="006B5F7F">
      <w:r>
        <w:separator/>
      </w:r>
    </w:p>
  </w:footnote>
  <w:footnote w:type="continuationSeparator" w:id="0">
    <w:p w:rsidR="006B5F7F" w:rsidRDefault="006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762AE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23844"/>
    <w:rsid w:val="00032552"/>
    <w:rsid w:val="00047961"/>
    <w:rsid w:val="00054127"/>
    <w:rsid w:val="000637CB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A2759"/>
    <w:rsid w:val="001C5749"/>
    <w:rsid w:val="0022206F"/>
    <w:rsid w:val="002477F3"/>
    <w:rsid w:val="00253C2D"/>
    <w:rsid w:val="0026686F"/>
    <w:rsid w:val="002717A4"/>
    <w:rsid w:val="00283198"/>
    <w:rsid w:val="00285DF6"/>
    <w:rsid w:val="00286B3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827EB"/>
    <w:rsid w:val="00683529"/>
    <w:rsid w:val="006A1461"/>
    <w:rsid w:val="006B145D"/>
    <w:rsid w:val="006B5F7F"/>
    <w:rsid w:val="006C735B"/>
    <w:rsid w:val="006E3C37"/>
    <w:rsid w:val="00700084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B7B6D"/>
    <w:rsid w:val="007C0380"/>
    <w:rsid w:val="007D5AB7"/>
    <w:rsid w:val="007E5478"/>
    <w:rsid w:val="0081037E"/>
    <w:rsid w:val="0081337E"/>
    <w:rsid w:val="00815689"/>
    <w:rsid w:val="00827D56"/>
    <w:rsid w:val="00841E5D"/>
    <w:rsid w:val="00851689"/>
    <w:rsid w:val="00851E1D"/>
    <w:rsid w:val="00853F69"/>
    <w:rsid w:val="008627AA"/>
    <w:rsid w:val="0087514F"/>
    <w:rsid w:val="008801F1"/>
    <w:rsid w:val="008946EE"/>
    <w:rsid w:val="008F15EB"/>
    <w:rsid w:val="009051AE"/>
    <w:rsid w:val="00915AFE"/>
    <w:rsid w:val="009212E6"/>
    <w:rsid w:val="009455BD"/>
    <w:rsid w:val="00945B21"/>
    <w:rsid w:val="009510A7"/>
    <w:rsid w:val="00993458"/>
    <w:rsid w:val="009A0DBA"/>
    <w:rsid w:val="009C10BA"/>
    <w:rsid w:val="009C2F20"/>
    <w:rsid w:val="009C4F0C"/>
    <w:rsid w:val="009D41D9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22E43"/>
    <w:rsid w:val="00B264D9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4779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2095B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D6044"/>
    <w:rsid w:val="00EE7677"/>
    <w:rsid w:val="00EF081D"/>
    <w:rsid w:val="00F042D8"/>
    <w:rsid w:val="00F11D5E"/>
    <w:rsid w:val="00F20570"/>
    <w:rsid w:val="00F415F9"/>
    <w:rsid w:val="00F425A1"/>
    <w:rsid w:val="00F451E9"/>
    <w:rsid w:val="00F47B3E"/>
    <w:rsid w:val="00F644F1"/>
    <w:rsid w:val="00F67997"/>
    <w:rsid w:val="00F718D4"/>
    <w:rsid w:val="00F762AE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2022-05-20T08:15:00Z</cp:lastPrinted>
  <dcterms:created xsi:type="dcterms:W3CDTF">2021-07-08T09:14:00Z</dcterms:created>
  <dcterms:modified xsi:type="dcterms:W3CDTF">2022-07-28T10:08:00Z</dcterms:modified>
</cp:coreProperties>
</file>