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713719">
        <w:rPr>
          <w:rFonts w:eastAsia="SimSun" w:cs="Tahoma"/>
          <w:kern w:val="2"/>
          <w:lang w:eastAsia="hi-IN" w:bidi="hi-IN"/>
        </w:rPr>
        <w:t>3331423</w:t>
      </w:r>
      <w:r w:rsidR="001D23BE" w:rsidRPr="001D23BE">
        <w:t xml:space="preserve"> </w:t>
      </w:r>
      <w:proofErr w:type="spellStart"/>
      <w:r w:rsidR="001D23BE" w:rsidRPr="001D23BE">
        <w:t>кв.м</w:t>
      </w:r>
      <w:proofErr w:type="spellEnd"/>
      <w:r w:rsidR="001D23BE" w:rsidRPr="001D23BE">
        <w:t>., кадастровый номер: 42:15:010</w:t>
      </w:r>
      <w:r w:rsidR="0065114B">
        <w:t>8006:21</w:t>
      </w:r>
      <w:r w:rsidR="00713719">
        <w:t>8</w:t>
      </w:r>
      <w:bookmarkStart w:id="0" w:name="_GoBack"/>
      <w:bookmarkEnd w:id="0"/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65114B">
        <w:t>использования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0E3D96"/>
    <w:rsid w:val="001A1189"/>
    <w:rsid w:val="001D23BE"/>
    <w:rsid w:val="002420D3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13719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2022-09-12T09:57:00Z</dcterms:created>
  <dcterms:modified xsi:type="dcterms:W3CDTF">2022-09-12T09:57:00Z</dcterms:modified>
</cp:coreProperties>
</file>