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2F7AD2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8477C2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30008D">
        <w:t xml:space="preserve">в электронной форме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0A265B">
        <w:t xml:space="preserve">№ </w:t>
      </w:r>
      <w:r w:rsidR="000A265B" w:rsidRPr="000A265B">
        <w:t>989</w:t>
      </w:r>
      <w:r w:rsidR="000B329C" w:rsidRPr="000A265B">
        <w:t>-</w:t>
      </w:r>
      <w:r w:rsidR="008303B7" w:rsidRPr="000A265B">
        <w:t>р</w:t>
      </w:r>
      <w:r w:rsidR="00567DE0" w:rsidRPr="000A265B">
        <w:t xml:space="preserve"> от </w:t>
      </w:r>
      <w:r w:rsidR="000A265B" w:rsidRPr="000A265B">
        <w:t>28.10</w:t>
      </w:r>
      <w:r w:rsidR="002307B7" w:rsidRPr="000A265B">
        <w:t>.2022</w:t>
      </w:r>
      <w:r w:rsidRPr="000A265B">
        <w:t xml:space="preserve"> г. «</w:t>
      </w:r>
      <w:r w:rsidR="0030008D" w:rsidRPr="000A265B">
        <w:t>О</w:t>
      </w:r>
      <w:r w:rsidR="0030008D" w:rsidRPr="0030008D">
        <w:t xml:space="preserve"> проведении электронного аукциона на право заключения договора аренды земельного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30008D">
        <w:t>20790419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010108:145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>для сельскохозяйственного</w:t>
      </w:r>
      <w:r w:rsidR="008303B7">
        <w:t xml:space="preserve"> </w:t>
      </w:r>
      <w:r w:rsidR="0030008D">
        <w:t>производства</w:t>
      </w:r>
      <w:r>
        <w:t>, расположен</w:t>
      </w:r>
      <w:r w:rsidR="001055E1">
        <w:t>н</w:t>
      </w:r>
      <w:r w:rsidR="0030008D">
        <w:t>ый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010108:145-42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30008D">
        <w:t>05.10.2022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30008D">
        <w:t>01.11.2022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30008D">
        <w:t>30.11.2022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63709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02.12.2022г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>
        <w:rPr>
          <w:rFonts w:ascii="Times New Roman" w:hAnsi="Times New Roman"/>
          <w:bCs/>
          <w:iCs/>
          <w:sz w:val="24"/>
          <w:szCs w:val="24"/>
        </w:rPr>
        <w:t xml:space="preserve">05.12.2022 </w:t>
      </w:r>
      <w:r w:rsidRPr="00494B07">
        <w:rPr>
          <w:rFonts w:ascii="Times New Roman" w:hAnsi="Times New Roman"/>
          <w:bCs/>
          <w:iCs/>
          <w:sz w:val="24"/>
          <w:szCs w:val="24"/>
        </w:rPr>
        <w:t>в 1</w:t>
      </w:r>
      <w:r>
        <w:rPr>
          <w:rFonts w:ascii="Times New Roman" w:hAnsi="Times New Roman"/>
          <w:bCs/>
          <w:iCs/>
          <w:sz w:val="24"/>
          <w:szCs w:val="24"/>
        </w:rPr>
        <w:t>2.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02.12.2022</w:t>
      </w:r>
      <w:proofErr w:type="gramEnd"/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в 11.00 часов по местному времени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E26A47" w:rsidRPr="00E26A47" w:rsidRDefault="00E26A47" w:rsidP="00E26A47">
      <w:pPr>
        <w:pStyle w:val="555"/>
        <w:spacing w:before="0" w:line="240" w:lineRule="auto"/>
        <w:ind w:firstLine="0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аукциона.</w:t>
      </w:r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>
        <w:rPr>
          <w:rFonts w:ascii="Times New Roman" w:hAnsi="Times New Roman"/>
          <w:bCs/>
          <w:iCs/>
          <w:sz w:val="24"/>
          <w:szCs w:val="24"/>
        </w:rPr>
        <w:t xml:space="preserve">05.12.2022 </w:t>
      </w:r>
      <w:r w:rsidRPr="00494B07">
        <w:rPr>
          <w:rFonts w:ascii="Times New Roman" w:hAnsi="Times New Roman"/>
          <w:bCs/>
          <w:iCs/>
          <w:sz w:val="24"/>
          <w:szCs w:val="24"/>
        </w:rPr>
        <w:t>в 1</w:t>
      </w:r>
      <w:r>
        <w:rPr>
          <w:rFonts w:ascii="Times New Roman" w:hAnsi="Times New Roman"/>
          <w:bCs/>
          <w:iCs/>
          <w:sz w:val="24"/>
          <w:szCs w:val="24"/>
        </w:rPr>
        <w:t>2.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 w:rsidR="00604FB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="00604FBF">
        <w:rPr>
          <w:rFonts w:ascii="Times New Roman" w:hAnsi="Times New Roman"/>
          <w:bCs/>
          <w:iCs/>
          <w:sz w:val="24"/>
          <w:szCs w:val="24"/>
        </w:rPr>
        <w:t xml:space="preserve">на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 w:rsidR="00604FBF">
        <w:rPr>
          <w:rFonts w:ascii="Times New Roman" w:hAnsi="Times New Roman"/>
          <w:bCs/>
          <w:iCs/>
          <w:sz w:val="24"/>
          <w:szCs w:val="24"/>
        </w:rPr>
        <w:t>ой</w:t>
      </w:r>
      <w:proofErr w:type="gramEnd"/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 w:rsidR="00604FBF"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="00604FBF">
        <w:rPr>
          <w:rFonts w:ascii="Times New Roman" w:hAnsi="Times New Roman"/>
          <w:bCs/>
          <w:iCs/>
          <w:sz w:val="24"/>
          <w:szCs w:val="24"/>
        </w:rPr>
        <w:t xml:space="preserve">РТС-тендер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Pr="008A08E5">
        <w:t>05.12.2022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lastRenderedPageBreak/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</w:t>
      </w:r>
      <w:r w:rsidR="00F35836">
        <w:rPr>
          <w:color w:val="000000"/>
        </w:rPr>
        <w:t xml:space="preserve"> – </w:t>
      </w:r>
      <w:bookmarkStart w:id="0" w:name="_GoBack"/>
      <w:r w:rsidR="00F35836">
        <w:rPr>
          <w:color w:val="000000"/>
        </w:rPr>
        <w:t>до 29.11.2022 г. включительно.</w:t>
      </w:r>
    </w:p>
    <w:bookmarkEnd w:id="0"/>
    <w:p w:rsidR="0030008D" w:rsidRDefault="0030008D" w:rsidP="0030008D">
      <w:pPr>
        <w:pStyle w:val="a9"/>
        <w:ind w:firstLine="426"/>
      </w:pPr>
      <w:r>
        <w:rPr>
          <w:b/>
          <w:bCs/>
        </w:rPr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>пользование земельным участком» от 17.10.2022 г. № МК 44/2 начальный размер годовой арендной платы предмета аукциона составляет 1488600,00 (один миллион четыреста восемьдесят восемь тысяч шестьсот) рублей 00 к</w:t>
      </w:r>
      <w:r>
        <w:t xml:space="preserve">опеек.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Pr="00C05B96">
        <w:t xml:space="preserve">44658,00 (сорок четыре тысячи шестьсот пятьдесят восемь) рублей 00 копеек,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56DC0">
        <w:rPr>
          <w:szCs w:val="24"/>
        </w:rPr>
        <w:t>30.11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Pr="00944621">
        <w:rPr>
          <w:bCs/>
          <w:szCs w:val="24"/>
        </w:rPr>
        <w:t>1488600,00 (один миллион четыреста восемьдесят восемь тысяч шестьсот) рублей 00 копеек,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0A265B">
        <w:rPr>
          <w:rFonts w:ascii="Times New Roman" w:hAnsi="Times New Roman"/>
          <w:sz w:val="24"/>
          <w:szCs w:val="24"/>
        </w:rPr>
        <w:t>аукциона в течение 10 (десяти) дней</w:t>
      </w:r>
      <w:r w:rsidRPr="00375CC8">
        <w:rPr>
          <w:rFonts w:ascii="Times New Roman" w:hAnsi="Times New Roman"/>
          <w:sz w:val="24"/>
          <w:szCs w:val="24"/>
        </w:rPr>
        <w:t xml:space="preserve"> со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0A265B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</w:t>
      </w:r>
      <w:r>
        <w:lastRenderedPageBreak/>
        <w:t xml:space="preserve">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</w:t>
      </w:r>
      <w:r>
        <w:lastRenderedPageBreak/>
        <w:t xml:space="preserve">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>открытому по составу участников и по форме подачи предложений 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20790419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42:15:0101008:145</w:t>
      </w:r>
      <w:r w:rsidRPr="00EE0B42">
        <w:rPr>
          <w:rFonts w:eastAsia="Times New Roman" w:cs="Times New Roman"/>
          <w:kern w:val="0"/>
          <w:lang w:eastAsia="ru-RU" w:bidi="ar-SA"/>
        </w:rPr>
        <w:t>, категория: земли сельскохозяйственного назначения, вид разрешенного использования: для сельскохозяйственного производства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20790419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01008:145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для сельскохозяйственного </w:t>
      </w:r>
      <w:r>
        <w:rPr>
          <w:sz w:val="20"/>
        </w:rPr>
        <w:t>производства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>
        <w:rPr>
          <w:sz w:val="20"/>
          <w:szCs w:val="20"/>
        </w:rPr>
        <w:t>1488600,00 (один миллион четыреста восемьдесят восемь тысяч шестьсот)</w:t>
      </w:r>
      <w:r w:rsidRPr="00F97DB1">
        <w:rPr>
          <w:sz w:val="20"/>
          <w:szCs w:val="20"/>
        </w:rPr>
        <w:t xml:space="preserve"> рублей </w:t>
      </w:r>
      <w:r>
        <w:rPr>
          <w:sz w:val="20"/>
          <w:szCs w:val="20"/>
        </w:rPr>
        <w:t>0</w:t>
      </w:r>
      <w:r w:rsidRPr="00F97DB1">
        <w:rPr>
          <w:sz w:val="20"/>
          <w:szCs w:val="20"/>
        </w:rPr>
        <w:t>0 копеек 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57656D">
        <w:rPr>
          <w:sz w:val="20"/>
          <w:szCs w:val="20"/>
        </w:rPr>
        <w:t>. Размер арендной платы может быть изменен Арендодателем в одностороннем порядк</w:t>
      </w:r>
      <w:r>
        <w:rPr>
          <w:sz w:val="20"/>
          <w:szCs w:val="20"/>
        </w:rPr>
        <w:t>е, но не чаще одного раза в год,</w:t>
      </w:r>
      <w:r w:rsidRPr="0057656D">
        <w:rPr>
          <w:sz w:val="20"/>
          <w:szCs w:val="20"/>
        </w:rPr>
        <w:t xml:space="preserve"> в случае если законодательством будет установлен иной порядок исчисления арендной платы, то вступление в силу указанного нормативного акта является основанием для внесения в договор аренды соответствующих изменений;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</w:t>
      </w:r>
      <w:r w:rsidR="00872DA3" w:rsidRPr="00872DA3">
        <w:rPr>
          <w:sz w:val="20"/>
          <w:szCs w:val="20"/>
        </w:rPr>
        <w:t>более двух раз подряд по истечении установленного договором срока платежа</w:t>
      </w:r>
      <w:r w:rsidRPr="00872DA3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 xml:space="preserve">- неиспользовании земельного участка, предназначенного для сельскохозяйственного производства в указанных </w:t>
      </w:r>
      <w:r w:rsidRPr="0057656D">
        <w:rPr>
          <w:sz w:val="20"/>
          <w:szCs w:val="20"/>
        </w:rPr>
        <w:lastRenderedPageBreak/>
        <w:t>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20790419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42:15:0101008:145, категория: земли сельскохозяйственного назначения, вид разрешенного использования: для сельскохозяйственного производства,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E52" w:rsidRDefault="00402E52">
      <w:r>
        <w:separator/>
      </w:r>
    </w:p>
  </w:endnote>
  <w:endnote w:type="continuationSeparator" w:id="0">
    <w:p w:rsidR="00402E52" w:rsidRDefault="0040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E52" w:rsidRDefault="00402E52">
      <w:r>
        <w:separator/>
      </w:r>
    </w:p>
  </w:footnote>
  <w:footnote w:type="continuationSeparator" w:id="0">
    <w:p w:rsidR="00402E52" w:rsidRDefault="00402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35836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A265B"/>
    <w:rsid w:val="000B329C"/>
    <w:rsid w:val="000D4486"/>
    <w:rsid w:val="000E6C62"/>
    <w:rsid w:val="000F334B"/>
    <w:rsid w:val="001055E1"/>
    <w:rsid w:val="00120E51"/>
    <w:rsid w:val="00160892"/>
    <w:rsid w:val="001820C1"/>
    <w:rsid w:val="00195BF4"/>
    <w:rsid w:val="001B603F"/>
    <w:rsid w:val="00224841"/>
    <w:rsid w:val="00225E97"/>
    <w:rsid w:val="002300E5"/>
    <w:rsid w:val="002307B7"/>
    <w:rsid w:val="002477F3"/>
    <w:rsid w:val="00253C2D"/>
    <w:rsid w:val="002701A3"/>
    <w:rsid w:val="00283198"/>
    <w:rsid w:val="002D7E95"/>
    <w:rsid w:val="002E66BA"/>
    <w:rsid w:val="002F7AD2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3F2952"/>
    <w:rsid w:val="00402E52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4FBF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B145D"/>
    <w:rsid w:val="006C5F51"/>
    <w:rsid w:val="0070648A"/>
    <w:rsid w:val="00725B39"/>
    <w:rsid w:val="007407CF"/>
    <w:rsid w:val="007422FE"/>
    <w:rsid w:val="007558B3"/>
    <w:rsid w:val="00757BDC"/>
    <w:rsid w:val="007765B6"/>
    <w:rsid w:val="007A10C2"/>
    <w:rsid w:val="007C0380"/>
    <w:rsid w:val="007D5AB7"/>
    <w:rsid w:val="007E5478"/>
    <w:rsid w:val="0081037E"/>
    <w:rsid w:val="0081337E"/>
    <w:rsid w:val="008303B7"/>
    <w:rsid w:val="008477C2"/>
    <w:rsid w:val="00851689"/>
    <w:rsid w:val="00851E1D"/>
    <w:rsid w:val="00853F69"/>
    <w:rsid w:val="0085452C"/>
    <w:rsid w:val="0086244C"/>
    <w:rsid w:val="008627AA"/>
    <w:rsid w:val="00872DA3"/>
    <w:rsid w:val="0087514F"/>
    <w:rsid w:val="008801F1"/>
    <w:rsid w:val="008946EE"/>
    <w:rsid w:val="008A17D4"/>
    <w:rsid w:val="00915AFE"/>
    <w:rsid w:val="00944621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B4DCE"/>
    <w:rsid w:val="00AC30A2"/>
    <w:rsid w:val="00AE20E7"/>
    <w:rsid w:val="00AE2199"/>
    <w:rsid w:val="00AF410E"/>
    <w:rsid w:val="00B022C3"/>
    <w:rsid w:val="00B108B5"/>
    <w:rsid w:val="00B22E43"/>
    <w:rsid w:val="00B512AD"/>
    <w:rsid w:val="00BA5B6E"/>
    <w:rsid w:val="00BC5102"/>
    <w:rsid w:val="00BD79D3"/>
    <w:rsid w:val="00BE2B16"/>
    <w:rsid w:val="00BE5444"/>
    <w:rsid w:val="00BE794B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26A47"/>
    <w:rsid w:val="00E32D5C"/>
    <w:rsid w:val="00E44368"/>
    <w:rsid w:val="00E4587C"/>
    <w:rsid w:val="00E468F4"/>
    <w:rsid w:val="00E4755C"/>
    <w:rsid w:val="00E56E1D"/>
    <w:rsid w:val="00E86FA3"/>
    <w:rsid w:val="00EA7383"/>
    <w:rsid w:val="00EB19A2"/>
    <w:rsid w:val="00EC03BB"/>
    <w:rsid w:val="00EC2531"/>
    <w:rsid w:val="00EC3E29"/>
    <w:rsid w:val="00EC65CB"/>
    <w:rsid w:val="00EE0B42"/>
    <w:rsid w:val="00EF081D"/>
    <w:rsid w:val="00F35836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5897</Words>
  <Characters>33613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9</cp:revision>
  <cp:lastPrinted>2022-10-31T09:12:00Z</cp:lastPrinted>
  <dcterms:created xsi:type="dcterms:W3CDTF">2022-10-30T17:12:00Z</dcterms:created>
  <dcterms:modified xsi:type="dcterms:W3CDTF">2022-10-31T09:56:00Z</dcterms:modified>
</cp:coreProperties>
</file>