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left" w:pos="708" w:leader="none"/>
          <w:tab w:val="center" w:pos="4153" w:leader="none"/>
          <w:tab w:val="right" w:pos="8306" w:leader="none"/>
        </w:tabs>
        <w:jc w:val="center"/>
        <w:rPr>
          <w:rFonts w:ascii="Garamond" w:hAnsi="Garamond"/>
          <w:b/>
          <w:sz w:val="44"/>
        </w:rPr>
      </w:pPr>
      <w:r>
        <w:rPr/>
        <w:drawing>
          <wp:inline distT="0" distB="0" distL="0" distR="0">
            <wp:extent cx="485775" cy="800100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ind w:left="-2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Кемеровская область - Кузбасс</w:t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Тяжинский муниципальный округ</w:t>
      </w:r>
    </w:p>
    <w:p>
      <w:pPr>
        <w:pStyle w:val="Header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Администрация Тяжинского муниципального округа</w:t>
      </w:r>
    </w:p>
    <w:p>
      <w:pPr>
        <w:pStyle w:val="Header"/>
        <w:ind w:left="-2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p>
      <w:pPr>
        <w:pStyle w:val="Normal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>
        <w:rPr>
          <w:rFonts w:ascii="Arial" w:hAnsi="Arial"/>
          <w:b/>
          <w:sz w:val="32"/>
        </w:rPr>
        <w:t>Постановление</w:t>
      </w:r>
    </w:p>
    <w:p>
      <w:pPr>
        <w:pStyle w:val="Normal"/>
        <w:jc w:val="center"/>
        <w:rPr>
          <w:rFonts w:ascii="Arial" w:hAnsi="Arial"/>
          <w:b/>
          <w:spacing w:val="20"/>
          <w:sz w:val="32"/>
        </w:rPr>
      </w:pPr>
      <w:r>
        <w:rPr>
          <w:rFonts w:ascii="Arial" w:hAnsi="Arial"/>
          <w:b/>
          <w:spacing w:val="20"/>
          <w:sz w:val="32"/>
        </w:rPr>
      </w:r>
    </w:p>
    <w:tbl>
      <w:tblPr>
        <w:tblW w:w="417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694"/>
        <w:gridCol w:w="1700"/>
        <w:gridCol w:w="284"/>
        <w:gridCol w:w="426"/>
        <w:gridCol w:w="1072"/>
      </w:tblGrid>
      <w:tr>
        <w:trPr/>
        <w:tc>
          <w:tcPr>
            <w:tcW w:w="69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От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  <w:tc>
          <w:tcPr>
            <w:tcW w:w="426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№</w:t>
            </w:r>
          </w:p>
        </w:tc>
        <w:tc>
          <w:tcPr>
            <w:tcW w:w="107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</w:r>
          </w:p>
        </w:tc>
      </w:tr>
    </w:tbl>
    <w:p>
      <w:pPr>
        <w:pStyle w:val="Normal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</w:r>
    </w:p>
    <w:tbl>
      <w:tblPr>
        <w:tblW w:w="853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8535"/>
      </w:tblGrid>
      <w:tr>
        <w:trPr/>
        <w:tc>
          <w:tcPr>
            <w:tcW w:w="853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О порядке </w:t>
            </w:r>
            <w:r>
              <w:rPr>
                <w:rFonts w:ascii="Arial" w:hAnsi="Arial"/>
                <w:b/>
                <w:sz w:val="32"/>
                <w:shd w:fill="FFFFFF" w:val="clear"/>
              </w:rPr>
              <w:t>разработки и утверждения</w:t>
            </w:r>
            <w:r>
              <w:rPr>
                <w:rFonts w:ascii="Arial" w:hAnsi="Arial"/>
                <w:b/>
                <w:sz w:val="32"/>
              </w:rPr>
              <w:t xml:space="preserve"> схемы размещения нестационарных торговых объектов на территории Тяжинского муниципального округа</w:t>
            </w:r>
          </w:p>
          <w:p>
            <w:pPr>
              <w:pStyle w:val="Normal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  <w:p>
            <w:pPr>
              <w:pStyle w:val="Normal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</w:r>
          </w:p>
        </w:tc>
      </w:tr>
    </w:tbl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соответствии с Земельным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 от 20.03.2025 №33-ФЗ «Об общих принципах организации местного самоуправления в единой системе публичной власти», от 28.12.2009 № 381-ФЗ «Об основах государственного регулирования торговой деятельности в Российской Федерации»,   от 03.07.2016 № 334-ФЗ «О внесении изменений в Земельный кодекс Российской Федерации и отдельные законодательные акты Российской Федерации», Постановлением Коллегии Администрации Кемеровской области от 30.11.2010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 государственной или муниципальной собственности, государственная собственность на которые не разграничена на территории Кемеровской области – Кузбасса, без предоставления земельных участков и установления сервитута, публичного сервитута», Уставом Тяжинского муниципального округа:</w:t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ПОСТАНОВЛЯЕТ:</w:t>
      </w:r>
    </w:p>
    <w:p>
      <w:pPr>
        <w:pStyle w:val="Normal"/>
        <w:widowControl w:val="false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851" w:leader="none"/>
        </w:tabs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Утвердить прилагаемый Порядок разработки и утверждения схемы размещения нестационарных торговых объектов на территории Тяжинского Муниципального округа согласно приложению  к настоящему постановлению. 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Настоящее постановление вступает в силу со дня обнародования, путем опубликования (размещения) его полного текста в сетевом издании «Официальный сайт администрации Тяжинского муниципального округа» (tyazhin.ru).</w:t>
      </w:r>
    </w:p>
    <w:p>
      <w:pPr>
        <w:pStyle w:val="Normal"/>
        <w:tabs>
          <w:tab w:val="clear" w:pos="720"/>
          <w:tab w:val="left" w:pos="851" w:leader="none"/>
        </w:tabs>
        <w:ind w:left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851" w:leader="none"/>
        </w:tabs>
        <w:ind w:firstLine="567" w:left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Контроль за выполнением настоящего постановления возложить на заместителя главы Тяжинского муниципального округа по экономике.</w:t>
      </w:r>
    </w:p>
    <w:p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ind w:firstLine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</w:r>
    </w:p>
    <w:p>
      <w:pPr>
        <w:pStyle w:val="Normal"/>
        <w:rPr>
          <w:rFonts w:ascii="Arial" w:hAnsi="Arial"/>
          <w:sz w:val="20"/>
        </w:rPr>
      </w:pPr>
      <w:r>
        <w:rPr>
          <w:rFonts w:ascii="Arial" w:hAnsi="Arial"/>
          <w:sz w:val="24"/>
        </w:rPr>
        <w:t xml:space="preserve">Глава Тяжинского муниципального округа </w:t>
        <w:tab/>
        <w:tab/>
        <w:tab/>
        <w:tab/>
        <w:t xml:space="preserve">       В.Е. Серебров</w:t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211"/>
        <w:spacing w:lineRule="auto" w:lin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Семенова Томила Владимировна,8(38449)2-89-52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Приложение 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Утвержден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постановлением администрации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Тяжинского муниципального округа</w:t>
      </w:r>
    </w:p>
    <w:p>
      <w:pPr>
        <w:pStyle w:val="Normal"/>
        <w:jc w:val="righ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u w:val="single"/>
        </w:rPr>
        <w:t xml:space="preserve">от «    »          2025 г. </w:t>
      </w:r>
      <w:r>
        <w:rPr>
          <w:rFonts w:cs="Arial" w:ascii="Arial" w:hAnsi="Arial"/>
          <w:sz w:val="20"/>
        </w:rPr>
        <w:t xml:space="preserve">№__________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Порядок разработки и утверждения схемы размещения нестационарных торговых объектов на территории Тяжинского муниципального округа 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1. Порядок разработки и утверждения схемы размещения нестационарных торговых объектов на территории Тяжинского муниципального округа (далее – Схема) определяет процедуру подготовки проекта Схемы, его согласования и утверждения с учетом градостроительного, земельного, санитарно-эпидемиологического, экологического, противопожарного и иного законодательства.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 Включение объектов в Схему осуществляется в целях: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2.1. Создания условий для организации, улучшения качества торгового обслуживания населения и повышения доступности товаров для населения.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2.2.Формирования торговой инфраструктуры с учетом видов и типов торговых объектов, форм и способов торговли.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z w:val="24"/>
          <w:szCs w:val="24"/>
        </w:rPr>
        <w:t>. Размещения нестационарных торговых объектов, используемых субъектами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«Налог на профессиональный доход», осуществляющими торговую деятельность.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2.</w:t>
      </w:r>
      <w:r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>. Достижения установленных нормативов минимальной обеспеченности населения площадью торговых объектов.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 В Схему не включаются нестационарные торговые объекты, расположенные на территории розничных рынков, ярмарок, при проведении культурно-массовых и иных мероприятий, в стационарных торговых объектах, иных зданиях, строениях, сооружениях или на земельных участках, находящихся в частной собственности.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 Схема состоит из двух разделов: текстового и графического.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4.1. Текстовый раздел Схемы включает в себя: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порядковый номер строки текстового раздела Схемы;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адресные ориентиры размещения нестационарного торгового объекта;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площадь нестационарного торгового объекта;</w:t>
      </w:r>
    </w:p>
    <w:p>
      <w:pPr>
        <w:pStyle w:val="Normal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 xml:space="preserve">- площадь земельного участка (его части) </w:t>
      </w:r>
      <w:bookmarkStart w:id="0" w:name="_Hlk214614292"/>
      <w:r>
        <w:rPr>
          <w:rFonts w:ascii="Arial" w:hAnsi="Arial"/>
          <w:color w:val="000000"/>
          <w:sz w:val="24"/>
          <w:szCs w:val="24"/>
          <w:shd w:fill="FFFFFF" w:val="clear"/>
        </w:rPr>
        <w:t xml:space="preserve">либо территории, в т.ч общего пользования, в случае размещения объекта вне границ существующих, отведенных в соответствии с земельным законодательством земельных участков, </w:t>
      </w:r>
      <w:bookmarkEnd w:id="0"/>
      <w:r>
        <w:rPr>
          <w:rFonts w:ascii="Arial" w:hAnsi="Arial"/>
          <w:color w:val="000000"/>
          <w:sz w:val="24"/>
          <w:szCs w:val="24"/>
          <w:shd w:fill="FFFFFF" w:val="clear"/>
        </w:rPr>
        <w:t>необходимой для размещения нестационарного торгового объекта</w:t>
      </w:r>
      <w:r>
        <w:rPr>
          <w:rFonts w:ascii="Arial" w:hAnsi="Arial"/>
          <w:color w:val="auto"/>
          <w:sz w:val="24"/>
          <w:szCs w:val="24"/>
        </w:rPr>
        <w:t xml:space="preserve"> (не указывается в случае размещения нестационарных торговых объектов, расположенных в зданиях, строениях, сооружениях);</w:t>
      </w:r>
    </w:p>
    <w:p>
      <w:pPr>
        <w:pStyle w:val="Normal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- тип нестационарного торгового объекта (павильон, киоск, автомагазин и т.д.);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специализацию торговли нестационарного торгового объекта;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период размещения нестационарного торгового объекта (для сезонных и временных объектов);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информацию об использовании нестационарного торгового объекта субъектами малого или среднего предпринимательства, осуществляющими торговую деятельность;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статус места размещения нестационарного торгового объекта (указывается, что место размещения нестационарного торгового объекта является компенсационным, в соответствии с Порядком заключения договоров на размещение нестационарных торговых объектов на землях или земельных участках, находящихся в государственной или в муниципальной собственности, государственная собственность на которые не разграничена на территории Кемеровской области - Кузбасса, без предоставления земельных участков и установления сервитута, публичного сервитута, без проведения торгов, утвержденного постановлением Коллегии Администрации Кемеровской области от 30 ноября 2010 года № 530).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4.2. Графический раздел Схемы включает в себя: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>- ситуационный план с нанесением места размещения нестационарного торгового объекта и указанием границ земельного участка (его части) либо территории, в т.ч общего пользования, в случае размещения объекта вне границ существующих, отведенных в соответствии с земельным законодательством земельных участков,</w:t>
      </w:r>
      <w:r>
        <w:rPr>
          <w:rFonts w:ascii="Arial" w:hAnsi="Arial"/>
          <w:color w:val="FF0000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FFFFFF" w:val="clear"/>
        </w:rPr>
        <w:t>необходимой для размещения нестационарного торгового объекта.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FFFFFF" w:val="clear"/>
        </w:rPr>
        <w:tab/>
        <w:t>Схема выполняется в масштабе не менее 1:500 с привязкой к существующим светофорам, объектам благоустройства и озеленения, объектам капитального строительства, включая стационарные торговые объекты.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>для нестационарных торговых объектов в виде передвижных сооружений или конструкций допускается места размещения таких размещения нестационарных торговых объектов в пределах 100 кв.м.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FFFFFF" w:val="clear"/>
        </w:rPr>
        <w:t>Для нестационарных торговых объектов, размещаемых в зданиях, строениях, сооружениях, изготовление ситуационного плана не требуется;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порядковый номер строки текстового раздела Схемы.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4.3. Схемой должно предусматриваться размещение не менее чем шестьдесят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4.4. Включение (исключение) нестационарных торговых объектов в схему, изменение данных, содержащихся в схеме, осуществляется по инициативе органа местного самоуправления, а также при поступлении предложений от федерального органа исполнительной власти или исполнительного органа Кемеровской области — Кузбасса, осуществляющих полномочия собственника имущества, или от заинтересованных юридических лиц,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В Схему включаются все размещенные на законных основаниях нестационарные торговые объекты и нестационарные торговые объекты, планируемые к размещению.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Утверждение Схемы,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4.5. Для разработки проекта схемы органом местного самоуправления создается </w:t>
      </w:r>
      <w:r>
        <w:rPr>
          <w:rFonts w:ascii="Arial" w:hAnsi="Arial"/>
          <w:sz w:val="24"/>
          <w:szCs w:val="24"/>
          <w:shd w:fill="FFFFFF" w:val="clear"/>
        </w:rPr>
        <w:t>рабочая группа по разработке схемы размещения нестационарных торговых объектов на территории Тяжинского муниципального округа и рассмотрению предложений о внесении изменений и дополнений в данную схему (далее - рабочая группа)</w:t>
      </w:r>
      <w:r>
        <w:rPr>
          <w:rFonts w:ascii="Arial" w:hAnsi="Arial"/>
          <w:sz w:val="24"/>
          <w:szCs w:val="24"/>
        </w:rPr>
        <w:t xml:space="preserve"> с привлечением хозяйствующих субъектов, осуществляющих торговую деятельность, некоммерческих организаций, объединяющих таких хозяйствующих субъектов, общественных объединений потребителей (их ассоциаций, союзов).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Состав рабочей группы</w:t>
      </w:r>
      <w:r>
        <w:rPr/>
        <w:t xml:space="preserve"> </w:t>
      </w:r>
      <w:r>
        <w:rPr>
          <w:rFonts w:ascii="Arial" w:hAnsi="Arial"/>
          <w:sz w:val="24"/>
          <w:szCs w:val="24"/>
        </w:rPr>
        <w:t>по рассмотрению предложений о внесении изменений и дополнений в схему</w:t>
      </w:r>
      <w:r>
        <w:rPr/>
        <w:t xml:space="preserve"> </w:t>
      </w:r>
      <w:r>
        <w:rPr>
          <w:rFonts w:ascii="Arial" w:hAnsi="Arial"/>
          <w:sz w:val="24"/>
          <w:szCs w:val="24"/>
        </w:rPr>
        <w:t xml:space="preserve">размещения нестационарных торговых объектов утверждается распоряжением администрации Тяжинского муниципального округа.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Положение о рабочей группе по рассмотрению предложений о внесении изменений и дополнений в схему размещения нестационарных торговых объектов утверждается постановлением администрации Тяжинского муниципального округа.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При включении нестационарного торгового объекта  в схему размещения учитываются требования земельного законодательства, законодательства в области охраны окружающей среды, в области охраны и использования особо охраняемых природных территорий, в области сохранения, использования, популяризации и охраны объектов культурного наследия, в  области  обеспечения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санитарно - эпидемиологического благополучия населения, законодательства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о градостроительной деятельности, пожарной безопасности, государственном регулировании производства и оборота этилового спирта, алкогольной и спиртосодержащей продукции и иные предусмотренные законодательством Российской Федерации требования.</w:t>
        <w:tab/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>5. Размещение и последующая эксплуатация и содержание нестационарных торговых объектов на территории Тяжинского муниципального округа должны осуществляться в полном соответствии Правилам благоустройства территории Тяжинского муниципального округа.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color w:val="000000"/>
          <w:sz w:val="24"/>
          <w:szCs w:val="24"/>
          <w:shd w:fill="FFFFFF" w:val="clear"/>
        </w:rPr>
        <w:t>6. Включение</w:t>
      </w:r>
      <w:r>
        <w:rPr>
          <w:shd w:fill="FFFFFF" w:val="clear"/>
        </w:rPr>
        <w:t xml:space="preserve"> </w:t>
      </w:r>
      <w:r>
        <w:rPr>
          <w:rFonts w:ascii="Arial" w:hAnsi="Arial"/>
          <w:color w:val="000000"/>
          <w:sz w:val="24"/>
          <w:szCs w:val="24"/>
          <w:shd w:fill="FFFFFF" w:val="clear"/>
        </w:rPr>
        <w:t>в Схему новых объектов и внесение изменений по ранее существующим объектам должно осуществляться в полном соответствии с нормами и требованиями Правил по размещению, архитектурно-художественному оформлению, формированию внешнего облика нестационарных торговых объектов и нестационарных объектов на территории Тяжинского муниципального округа.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7. Размещение, разработка архитектурно-художественного оформления, внешнего облика нестационарных торговых объектов на территории Тяжинского муниципального округа должно осуществляться в полном соответствии Правилам по размещению, архитектурно-художественному оформлению, формированию внешнего облика нестационарных торговых объектов и нестационарных объектов на территории Тяжинского муниципального округа.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  <w:t>8. При размещении новых объектов либо изменении внешнего вида ранее существующих объектов правообладателям данных объектов необходимо получение в уполномоченном органе местного самоуправления согласования проектных (архитектурных) решений по отделке фасадов данных объектов, осуществляемого в соответствии с Порядком согласования архитектурных решений фасадов зданий, сооружений, временных объектов на территории Тяжинского муниципального округа.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ab/>
        <w:t>9. Изменения и дополнения в Схему вносятся в следующих случаях: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ab/>
        <w:t xml:space="preserve">9.1. </w:t>
      </w:r>
      <w:r>
        <w:rPr>
          <w:rFonts w:ascii="Arial" w:hAnsi="Arial"/>
          <w:sz w:val="24"/>
          <w:szCs w:val="24"/>
        </w:rPr>
        <w:t>По инициативе администрации Тяжинского муниципального округа и ее структурных подразделений: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 основаниям, связанным с градостроительной деятельностью (деятельностью по развитию территорий, осуществляемой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реконструкции, сноса объектов капитального строительства, эксплуатации зданий, сооружений, благоустройства территорий);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при изменении социально-экономической ситуации на потребительском рынке;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при достижении норматива минимальной обеспеченности населения площадью нестационарных торговых объектов, установленного Законом Кемеровской области – Кузбасса.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 xml:space="preserve">9.2. </w:t>
      </w:r>
      <w:r>
        <w:rPr>
          <w:rFonts w:ascii="Arial" w:hAnsi="Arial"/>
          <w:sz w:val="24"/>
          <w:szCs w:val="24"/>
        </w:rPr>
        <w:t xml:space="preserve">При поступлении предложений от органа местного самоуправления, а также при поступлении предложений от федерального органа исполнительной власти или органа исполнительной власти Кемеровской области – Кузбасса, осуществляющих полномочия собственника имущества.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9.3.</w:t>
      </w:r>
      <w:r>
        <w:rPr>
          <w:rFonts w:ascii="Arial" w:hAnsi="Arial"/>
          <w:sz w:val="24"/>
          <w:szCs w:val="24"/>
        </w:rPr>
        <w:t xml:space="preserve"> При поступлении предложений от заинтересованных юридических лиц и индивидуальных предпринимателей, физических лиц, не являющимися индивидуальными предпринимателями и применяющими специальный налоговый режим «Налог на профессиональный доход».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Порядок рассмотрения предложений о включении мест размещения нестационарных торговых объектов в Схему и внесении в нее изменений, осуществляется в порядке, утвержденном постановлением администрации Тяжинского муниципального округа. Срок принятия замечаний и предложений по проекту схемы не может быть менее 10 рабочих дней со дня его опубликования. 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9.4.</w:t>
      </w:r>
      <w:r>
        <w:rPr>
          <w:rFonts w:ascii="Arial" w:hAnsi="Arial"/>
          <w:sz w:val="24"/>
          <w:szCs w:val="24"/>
        </w:rPr>
        <w:t xml:space="preserve"> 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органом местного самоуправления по согласованию с федеральным органом исполнительной власти или органом исполнительной власти Кемеровской области – Кузбасса, осуществляющими полномочия собственника имущества, в порядке, установленном Правительством Российской Федерации.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 xml:space="preserve">10. </w:t>
      </w:r>
      <w:r>
        <w:rPr>
          <w:rFonts w:ascii="Arial" w:hAnsi="Arial"/>
          <w:sz w:val="24"/>
          <w:szCs w:val="24"/>
        </w:rPr>
        <w:t>Основания исключения места размещения нестационарных торговых объектов из Схемы: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 если место размещения нестационарных торговых объектов не востребовано хозяйствующими субъектами в течение 3 месяцев после включения в Схему и отсутствует договор аренды земельного участка, предоставленного для размещения нестационарного торгового объекта  или договор на размещение нестационарного торгового объекта без предоставления земельных участков и установления сервитута, публичного сервитута;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в связи с введенными законодательством Российской Федерации ограничениями по размещению нестационарных торговых объектов;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- по причинам, связанным с градостроительной деятельностью.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В случае заключения/расторжения договора аренды земельного участка, предоставленного для размещения нестационарного торгового объекта или договора на размещение нестационарного торгового объекта  без предоставления земельных участков и установления сервитута, публичного сервитута, заключенных комитетом по управлению муниципальным имуществом Тяжинского муниципального округа  с хозяйствующими субъектами (далее — договор), комитет  по управлению муниципальным имуществом Тяжинского муниципального округа  в течение 3 рабочих дней со дня заключения/расторжения договора направляет данную информацию в сектор «Центр содействия малому и среднему бизнесу» отдела экономического анализа и прогнозирования администрации Тяжинского муниципального округа. 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11. Подготовка проекта Схемы осуществляется на основании:</w:t>
      </w:r>
    </w:p>
    <w:p>
      <w:pPr>
        <w:pStyle w:val="Normal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ab/>
        <w:t>11.1.Рекомендаций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ab/>
        <w:t>11.2.</w:t>
      </w:r>
      <w:r>
        <w:rPr>
          <w:rFonts w:ascii="Arial" w:hAnsi="Arial"/>
          <w:sz w:val="24"/>
          <w:szCs w:val="24"/>
        </w:rPr>
        <w:t xml:space="preserve"> Анализа и характеристики текущего состояния развития инфраструктуры розничной торговли;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auto" w:val="clear"/>
        </w:rPr>
        <w:t>11.3.</w:t>
      </w:r>
      <w:r>
        <w:rPr>
          <w:rFonts w:ascii="Arial" w:hAnsi="Arial"/>
          <w:sz w:val="24"/>
          <w:szCs w:val="24"/>
        </w:rPr>
        <w:t xml:space="preserve"> Оценки достижения нормативов минимальной обеспеченности населения площадью нестационарных торговых объектов, обеспечения территориальной доступности торговых объектов для населения;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 xml:space="preserve">11.4. </w:t>
      </w:r>
      <w:r>
        <w:rPr>
          <w:rFonts w:ascii="Arial" w:hAnsi="Arial"/>
          <w:sz w:val="24"/>
          <w:szCs w:val="24"/>
        </w:rPr>
        <w:t>Иных информационно - аналитических материалов, характеризующих развитие и потребность территории в нестационарных торговых объектах.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  Р</w:t>
      </w:r>
      <w:r>
        <w:rPr>
          <w:rFonts w:ascii="Arial" w:hAnsi="Arial"/>
          <w:sz w:val="24"/>
          <w:szCs w:val="24"/>
        </w:rPr>
        <w:t>азработка проекта Схемы включает в себя следующие этапы: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12.1</w:t>
      </w:r>
      <w:r>
        <w:rPr>
          <w:rFonts w:ascii="Arial" w:hAnsi="Arial"/>
          <w:sz w:val="24"/>
          <w:szCs w:val="24"/>
        </w:rPr>
        <w:t xml:space="preserve"> Рассмотрение предложений о включении мест размещения нестационарных торговых объектов  в Схему и внесении в нее изменений;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12.2.</w:t>
      </w:r>
      <w:r>
        <w:rPr>
          <w:rFonts w:ascii="Arial" w:hAnsi="Arial"/>
          <w:sz w:val="24"/>
          <w:szCs w:val="24"/>
        </w:rPr>
        <w:t xml:space="preserve"> Формирование списка адресных ориентиров, соответствующих критериям отбора;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12.3.</w:t>
      </w:r>
      <w:r>
        <w:rPr>
          <w:rFonts w:ascii="Arial" w:hAnsi="Arial"/>
          <w:sz w:val="24"/>
          <w:szCs w:val="24"/>
        </w:rPr>
        <w:t xml:space="preserve"> Подготовка информации  о наличии (отсутствии) градостроительных ограничений по размещению нестационарного торгового объекта в месте, планируемом для включения в Схему.</w:t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auto" w:val="clear"/>
        </w:rPr>
        <w:t>12.4.</w:t>
      </w:r>
      <w:r>
        <w:rPr>
          <w:rFonts w:ascii="Arial" w:hAnsi="Arial"/>
          <w:sz w:val="24"/>
          <w:szCs w:val="24"/>
        </w:rPr>
        <w:t xml:space="preserve"> Осуществление согласования с федеральным органом исполнительной власти, исполнительным органом Кемеровской области - Кузбасса, осуществляющими полномочия собственника имущества (при включении в Схему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собственности).</w:t>
      </w:r>
    </w:p>
    <w:p>
      <w:pPr>
        <w:pStyle w:val="Normal"/>
        <w:jc w:val="both"/>
        <w:rPr>
          <w:rFonts w:ascii="Arial" w:hAnsi="Arial"/>
          <w:sz w:val="24"/>
          <w:szCs w:val="24"/>
          <w:highlight w:val="yellow"/>
        </w:rPr>
      </w:pPr>
      <w:r>
        <w:rPr>
          <w:rFonts w:ascii="Arial" w:hAnsi="Arial"/>
          <w:sz w:val="24"/>
          <w:szCs w:val="24"/>
        </w:rPr>
        <w:t xml:space="preserve">           </w:t>
      </w:r>
      <w:r>
        <w:rPr>
          <w:rFonts w:ascii="Arial" w:hAnsi="Arial"/>
          <w:sz w:val="24"/>
          <w:szCs w:val="24"/>
          <w:shd w:fill="FFFFFF" w:val="clear"/>
        </w:rPr>
        <w:t xml:space="preserve">12.5.  Проведение </w:t>
      </w:r>
      <w:bookmarkStart w:id="1" w:name="_Hlk214620452"/>
      <w:r>
        <w:rPr>
          <w:rFonts w:ascii="Arial" w:hAnsi="Arial"/>
          <w:sz w:val="24"/>
          <w:szCs w:val="24"/>
          <w:shd w:fill="FFFFFF" w:val="clear"/>
        </w:rPr>
        <w:t xml:space="preserve">  публичных консультаций по проекту схемы размещения нестационарных торговых объектов на территории Тяжинского муниципального округа, в т.ч. проекту о внесении изменений в данную схему</w:t>
      </w:r>
      <w:bookmarkEnd w:id="1"/>
      <w:r>
        <w:rPr>
          <w:rFonts w:ascii="Arial" w:hAnsi="Arial"/>
          <w:sz w:val="24"/>
          <w:szCs w:val="24"/>
          <w:shd w:fill="FFFFFF" w:val="clear"/>
        </w:rPr>
        <w:t>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>12.6. Подготовка заключения по результатам проведения публичных консультаций  по проекту схемы размещения нестационарных торговых объектов на территории Тяжинского муниципального округа, в т.ч. проекту о внесении изменений в данную схему.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12.7.</w:t>
      </w:r>
      <w:r>
        <w:rPr>
          <w:rFonts w:ascii="Arial" w:hAnsi="Arial"/>
          <w:sz w:val="24"/>
          <w:szCs w:val="24"/>
        </w:rPr>
        <w:t xml:space="preserve"> Рассмотрение подготовленного проекта Схемы на заседании рабочей группы;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shd w:fill="FFFFFF" w:val="clear"/>
        </w:rPr>
        <w:t>12.8.</w:t>
      </w:r>
      <w:r>
        <w:rPr>
          <w:rFonts w:ascii="Arial" w:hAnsi="Arial"/>
          <w:sz w:val="24"/>
          <w:szCs w:val="24"/>
        </w:rPr>
        <w:t xml:space="preserve"> Разработка </w:t>
      </w:r>
      <w:bookmarkStart w:id="2" w:name="_Hlk214619878"/>
      <w:r>
        <w:rPr>
          <w:rFonts w:ascii="Arial" w:hAnsi="Arial"/>
          <w:sz w:val="24"/>
          <w:szCs w:val="24"/>
        </w:rPr>
        <w:t>проекта постановления администрации Тяжинского муниципального округа об утверждении Схемы или о внесении изменений в Схему на основании рекомендаций рабочей группы</w:t>
      </w:r>
      <w:bookmarkEnd w:id="2"/>
      <w:r>
        <w:rPr>
          <w:rFonts w:ascii="Arial" w:hAnsi="Arial"/>
          <w:sz w:val="24"/>
          <w:szCs w:val="24"/>
        </w:rPr>
        <w:t>;</w:t>
      </w:r>
    </w:p>
    <w:p>
      <w:pPr>
        <w:pStyle w:val="Normal"/>
        <w:ind w:firstLine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fill="FFFFFF" w:val="clear"/>
        </w:rPr>
        <w:t>12.9.</w:t>
      </w:r>
      <w:r>
        <w:rPr>
          <w:rFonts w:ascii="Arial" w:hAnsi="Arial"/>
          <w:sz w:val="24"/>
          <w:szCs w:val="24"/>
        </w:rPr>
        <w:t xml:space="preserve"> Утверждение и опубликование постановления администрации Тяжинского муниципального округа об утверждении Схемы или о внесении изменений в Схему </w:t>
      </w:r>
      <w:r>
        <w:rPr>
          <w:rFonts w:ascii="Arial" w:hAnsi="Arial"/>
          <w:sz w:val="24"/>
          <w:szCs w:val="24"/>
          <w:shd w:fill="FFFFFF" w:val="clear"/>
        </w:rPr>
        <w:t>в порядке предусмотренном муниципальным правовым актом.</w:t>
      </w:r>
    </w:p>
    <w:p>
      <w:pPr>
        <w:pStyle w:val="Normal"/>
        <w:ind w:firstLine="720"/>
        <w:jc w:val="both"/>
        <w:rPr>
          <w:highlight w:val="none"/>
          <w:shd w:fill="FFFFFF" w:val="clear"/>
        </w:rPr>
      </w:pPr>
      <w:r>
        <w:rPr>
          <w:rFonts w:ascii="Arial" w:hAnsi="Arial"/>
          <w:sz w:val="24"/>
          <w:szCs w:val="24"/>
          <w:shd w:fill="FFFFFF" w:val="clear"/>
        </w:rPr>
        <w:t xml:space="preserve">13. Проведение открытого обсуждения через публичные консультации  по проекту схемы размещения нестационарных торговых объектов на территории Тяжинского муниципального округа, в т.ч. проекту о внесении изменений в данную схему должно осуществляться </w:t>
      </w:r>
      <w:bookmarkStart w:id="3" w:name="_Hlk214620467"/>
      <w:r>
        <w:rPr>
          <w:rFonts w:ascii="Arial" w:hAnsi="Arial"/>
          <w:sz w:val="24"/>
          <w:szCs w:val="24"/>
          <w:shd w:fill="FFFFFF" w:val="clear"/>
        </w:rPr>
        <w:t xml:space="preserve"> в соответствии с нормами Положения о порядке организации и проведения публичных слушаний, общественных обсуждений в Тяжинском муниципальном округе</w:t>
      </w:r>
      <w:bookmarkEnd w:id="3"/>
      <w:r>
        <w:rPr>
          <w:rFonts w:ascii="Arial" w:hAnsi="Arial"/>
          <w:sz w:val="24"/>
          <w:szCs w:val="24"/>
          <w:shd w:fill="FFFFFF" w:val="clear"/>
        </w:rPr>
        <w:t>, Порядка  проведения оценки регулирующего воздействия проектов нормативных правовых  актов и Порядка проведения экспертизы нормативных правовых актов Тяжинского муниципального округа, затрагивающих вопросы осуществления предпринимательской и иной инвестиционной деятельности.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jc w:val="both"/>
        <w:rPr>
          <w:rFonts w:ascii="Arial" w:hAnsi="Arial"/>
          <w:strike/>
          <w:color w:val="FF0000"/>
          <w:sz w:val="24"/>
          <w:szCs w:val="24"/>
        </w:rPr>
      </w:pPr>
      <w:r>
        <w:rPr>
          <w:rFonts w:ascii="Arial" w:hAnsi="Arial"/>
          <w:strike/>
          <w:color w:val="FF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Garamond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sz w:val="28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Верхний колонтитул Знак"/>
    <w:basedOn w:val="1"/>
    <w:qFormat/>
    <w:rPr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Абзац списка Знак"/>
    <w:basedOn w:val="1"/>
    <w:link w:val="ListParagraph"/>
    <w:qFormat/>
    <w:rPr>
      <w:sz w:val="28"/>
    </w:rPr>
  </w:style>
  <w:style w:type="character" w:styleId="Style11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21" w:customStyle="1">
    <w:name w:val="Основной текст (2)"/>
    <w:basedOn w:val="1"/>
    <w:link w:val="211"/>
    <w:qFormat/>
    <w:rPr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2" w:customStyle="1">
    <w:name w:val="Подзаголовок Знак"/>
    <w:qFormat/>
    <w:rPr>
      <w:rFonts w:ascii="XO Thames" w:hAnsi="XO Thames"/>
      <w:i/>
      <w:sz w:val="24"/>
    </w:rPr>
  </w:style>
  <w:style w:type="character" w:styleId="Style13" w:customStyle="1">
    <w:name w:val="Основной текст Знак"/>
    <w:basedOn w:val="1"/>
    <w:qFormat/>
    <w:rPr>
      <w:sz w:val="23"/>
    </w:rPr>
  </w:style>
  <w:style w:type="character" w:styleId="Style14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23" w:customStyle="1">
    <w:name w:val="Основной текст (2)_"/>
    <w:qFormat/>
    <w:rsid w:val="00732765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21f0b"/>
    <w:rPr>
      <w:sz w:val="28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link w:val="Style13"/>
    <w:pPr>
      <w:spacing w:lineRule="atLeast" w:line="240"/>
    </w:pPr>
    <w:rPr>
      <w:sz w:val="23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7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next w:val="BodyText"/>
    <w:link w:val="Style14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erandFooter1" w:customStyle="1">
    <w:name w:val="Header and Footer1"/>
    <w:basedOn w:val="Normal"/>
    <w:qFormat/>
    <w:pPr/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 w:customStyle="1">
    <w:name w:val="Header and Footer5"/>
    <w:basedOn w:val="Normal"/>
    <w:qFormat/>
    <w:pPr/>
    <w:rPr/>
  </w:style>
  <w:style w:type="paragraph" w:styleId="HeaderandFooter6" w:customStyle="1">
    <w:name w:val="Header and Footer6"/>
    <w:basedOn w:val="Normal"/>
    <w:qFormat/>
    <w:pPr/>
    <w:rPr/>
  </w:style>
  <w:style w:type="paragraph" w:styleId="HeaderandFooter7" w:customStyle="1">
    <w:name w:val="Header and Footer7"/>
    <w:basedOn w:val="Normal"/>
    <w:qFormat/>
    <w:pPr/>
    <w:rPr/>
  </w:style>
  <w:style w:type="paragraph" w:styleId="HeaderandFooter8" w:customStyle="1">
    <w:name w:val="Header and Footer8"/>
    <w:basedOn w:val="Normal"/>
    <w:qFormat/>
    <w:pPr/>
    <w:rPr/>
  </w:style>
  <w:style w:type="paragraph" w:styleId="HeaderandFooter9" w:customStyle="1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andFooter12">
    <w:name w:val="Header and Footer12"/>
    <w:basedOn w:val="Normal"/>
    <w:qFormat/>
    <w:pPr/>
    <w:rPr/>
  </w:style>
  <w:style w:type="paragraph" w:styleId="Header">
    <w:name w:val="header"/>
    <w:basedOn w:val="Normal"/>
    <w:link w:val="Style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link w:val="Style10"/>
    <w:qFormat/>
    <w:pPr>
      <w:ind w:left="708"/>
    </w:pPr>
    <w:rPr/>
  </w:style>
  <w:style w:type="paragraph" w:styleId="BalloonText">
    <w:name w:val="Balloon Text"/>
    <w:basedOn w:val="Normal"/>
    <w:link w:val="Style11"/>
    <w:qFormat/>
    <w:pPr/>
    <w:rPr>
      <w:rFonts w:ascii="Tahoma" w:hAnsi="Tahoma"/>
      <w:sz w:val="16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1" w:customStyle="1">
    <w:name w:val="Основной текст (2)1"/>
    <w:basedOn w:val="Normal"/>
    <w:link w:val="21"/>
    <w:qFormat/>
    <w:pPr>
      <w:spacing w:lineRule="atLeast" w:line="240"/>
    </w:pPr>
    <w:rPr/>
  </w:style>
  <w:style w:type="paragraph" w:styleId="13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2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e9323a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Arial" w:cs="Arial"/>
      <w:color w:val="auto"/>
      <w:kern w:val="2"/>
      <w:sz w:val="28"/>
      <w:szCs w:val="28"/>
      <w:lang w:val="ru-RU" w:eastAsia="ar-SA" w:bidi="ar-SA"/>
    </w:rPr>
  </w:style>
  <w:style w:type="paragraph" w:styleId="NormalWeb">
    <w:name w:val="Normal (Web)"/>
    <w:basedOn w:val="Normal"/>
    <w:uiPriority w:val="99"/>
    <w:unhideWhenUsed/>
    <w:qFormat/>
    <w:rsid w:val="00e9323a"/>
    <w:pPr>
      <w:spacing w:beforeAutospacing="1" w:afterAutospacing="1"/>
    </w:pPr>
    <w:rPr>
      <w:color w:val="auto"/>
      <w:sz w:val="24"/>
      <w:szCs w:val="24"/>
    </w:rPr>
  </w:style>
  <w:style w:type="paragraph" w:styleId="caption1" w:customStyle="1">
    <w:name w:val="caption1"/>
    <w:basedOn w:val="Normal"/>
    <w:next w:val="Normal"/>
    <w:uiPriority w:val="35"/>
    <w:unhideWhenUsed/>
    <w:qFormat/>
    <w:rsid w:val="001a4e53"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9" w:customStyle="1">
    <w:name w:val="Содержимое врезки"/>
    <w:basedOn w:val="Normal"/>
    <w:qFormat/>
    <w:pPr/>
    <w:rPr/>
  </w:style>
  <w:style w:type="paragraph" w:styleId="Footer">
    <w:name w:val="footer"/>
    <w:basedOn w:val="Normal"/>
    <w:link w:val="Style15"/>
    <w:uiPriority w:val="99"/>
    <w:unhideWhenUsed/>
    <w:rsid w:val="00821f0b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user2" w:customStyle="1">
    <w:name w:val="Содержимое врезки (user)"/>
    <w:basedOn w:val="Normal"/>
    <w:qFormat/>
    <w:pPr/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Application>LibreOffice/25.2.3.2$Linux_X86_64 LibreOffice_project/520$Build-2</Application>
  <AppVersion>15.0000</AppVersion>
  <Pages>7</Pages>
  <Words>1915</Words>
  <Characters>15290</Characters>
  <CharactersWithSpaces>17242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2025-02-07T01:46:00Z</dcterms:created>
  <dc:creator/>
  <dc:description/>
  <dc:language>ru-RU</dc:language>
  <cp:lastModifiedBy/>
  <cp:lastPrinted>2025-12-22T16:16:56Z</cp:lastPrinted>
  <dcterms:modified xsi:type="dcterms:W3CDTF">2025-12-22T16:14:33Z</dcterms:modified>
  <cp:revision>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