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к Мониторингу качества финансового менеджмента,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осуществляемого главными администраторами средств бюджета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Тяжинского муниципального округа за 2024 год.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На основании </w:t>
      </w:r>
      <w:r>
        <w:rPr>
          <w:b/>
          <w:sz w:val="28"/>
          <w:szCs w:val="28"/>
        </w:rPr>
        <w:t>Приказа Финансового управления Тяжинского муниципального округа №20 от 16.03.2021г,</w:t>
      </w:r>
      <w:r>
        <w:rPr>
          <w:sz w:val="28"/>
          <w:szCs w:val="28"/>
        </w:rPr>
        <w:t xml:space="preserve"> финансовым управлением Тяжинского муниципального округа, был проведен  мониторинг качества финансового менеджмента, по результатам 2024</w:t>
      </w:r>
      <w:bookmarkStart w:id="0" w:name="_GoBack"/>
      <w:bookmarkEnd w:id="0"/>
      <w:r>
        <w:rPr>
          <w:sz w:val="28"/>
          <w:szCs w:val="28"/>
        </w:rPr>
        <w:t xml:space="preserve"> года. 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В мониторинге качества финансового менеджмента приняли участия следующие администраторы: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 Администрация Тяжинского муниципального округа;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 Комитет по управлению муниципальным имуществом ТМО;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 УЖТР ТМО АТМО;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 Управление образования;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 Управление культуры;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 УСЗН АТМО;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 ФУ ТМО;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 СНД ТМО;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 КСП ТМО.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Показатели мониторинга качества финансового менеджмента заполнялись на основании данных, предоставленных главными администраторами средств местного бюджета, и определялись по шкале от 0 до 5 баллов, в случае отсутствия предоставления информации показатели приравнивались к 0 баллам. По каждому администратору средств местного бюджета, рассчитана итоговая оценка показателей мониторинга, что является суммой баллов всех показателей, скорректированной на вес группы с учетом коэффициента сложности управления финансами, который определяется долей расходов местного бюджета над общими расходами. 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Рейтинг главных администраторов средств местного бюджета по уровню качества финансового менеджмента в Тяжинском муниципальном округе формируется по итоговым оценкам показателей мониторинга и является основанием для принятия мер по улучшению качества финансового менеджмента.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Максимальная итоговая оценка равна 5 баллам, если у администратора средств местного бюджета  итоговая оценка превышает 5 баллов, то она приравнивается к 5-ти.   Средняя оценка качества финансового менеджмента за 2024 год составила 4,9 балла. Максимальная итоговая оценка – 5,78 баллов сложилась у Управления образования, минимальная  - 4,33 балла у УЖТР ТМО. 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Итоговые оценки по каждому администратору средств местного бюджета представлены в Диаграмме №1 «Рейтинг по уровню качества финансового менеджмента за 2024 год».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  <w:t>Диаграмма №1 «Рейтинг по уровню качества финансового менеджмента за 2024 год»</w:t>
      </w:r>
    </w:p>
    <w:p>
      <w:pPr>
        <w:pStyle w:val="Normal"/>
        <w:spacing w:lineRule="auto" w:line="240" w:before="0" w:after="0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-80645</wp:posOffset>
            </wp:positionH>
            <wp:positionV relativeFrom="paragraph">
              <wp:posOffset>635</wp:posOffset>
            </wp:positionV>
            <wp:extent cx="6873240" cy="4659630"/>
            <wp:effectExtent l="0" t="0" r="0" b="0"/>
            <wp:wrapSquare wrapText="largest"/>
            <wp:docPr id="1" name="Объект1" descr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lang w:eastAsia="ru-RU"/>
        </w:rPr>
      </w:pPr>
      <w:r>
        <w:rPr>
          <w:lang w:eastAsia="ru-RU"/>
        </w:rPr>
      </w:r>
    </w:p>
    <w:p>
      <w:pPr>
        <w:pStyle w:val="Normal"/>
        <w:spacing w:lineRule="auto" w:line="240" w:before="0" w:after="0"/>
        <w:jc w:val="both"/>
        <w:rPr>
          <w:lang w:eastAsia="ru-RU"/>
        </w:rPr>
      </w:pPr>
      <w:r>
        <w:rPr>
          <w:lang w:eastAsia="ru-RU"/>
        </w:rPr>
      </w:r>
    </w:p>
    <w:p>
      <w:pPr>
        <w:pStyle w:val="Normal"/>
        <w:spacing w:lineRule="auto" w:line="240" w:before="0" w:after="0"/>
        <w:jc w:val="both"/>
        <w:rPr>
          <w:lang w:eastAsia="ru-RU"/>
        </w:rPr>
      </w:pPr>
      <w:r>
        <w:rPr>
          <w:lang w:eastAsia="ru-RU"/>
        </w:rPr>
      </w:r>
    </w:p>
    <w:p>
      <w:pPr>
        <w:pStyle w:val="Normal"/>
        <w:spacing w:lineRule="auto" w:line="240" w:before="0" w:after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Исполнитель: Гаранина Ирина Владимировна </w:t>
      </w:r>
    </w:p>
    <w:p>
      <w:pPr>
        <w:pStyle w:val="Normal"/>
        <w:spacing w:lineRule="auto" w:line="240" w:before="0" w:after="0"/>
        <w:jc w:val="both"/>
        <w:rPr>
          <w:sz w:val="18"/>
          <w:szCs w:val="18"/>
        </w:rPr>
      </w:pPr>
      <w:r>
        <w:rPr>
          <w:sz w:val="18"/>
          <w:szCs w:val="18"/>
        </w:rPr>
        <w:t>Тел: 8(384-49) 28-6-86</w:t>
      </w:r>
    </w:p>
    <w:sectPr>
      <w:type w:val="nextPage"/>
      <w:pgSz w:w="11906" w:h="16838"/>
      <w:pgMar w:left="709" w:right="707" w:gutter="0" w:header="0" w:top="568" w:footer="0" w:bottom="56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swiss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726bd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726b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21623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autoTitleDeleted val="1"/>
    <c:view3D>
      <c:rotX val="15"/>
      <c:rotY val="16"/>
      <c:rAngAx val="1"/>
      <c:perspective val="40"/>
    </c:view3D>
    <c:floor>
      <c:spPr>
        <a:solidFill>
          <a:srgbClr val="cccccc"/>
        </a:solidFill>
        <a:ln w="0">
          <a:noFill/>
        </a:ln>
      </c:spPr>
    </c:floor>
    <c:sideWall>
      <c:spPr>
        <a:noFill/>
        <a:ln w="0">
          <a:solidFill>
            <a:srgbClr val="b3b3b3"/>
          </a:solidFill>
        </a:ln>
      </c:spPr>
    </c:sideWall>
    <c:backWall>
      <c:spPr>
        <a:noFill/>
        <a:ln w="0">
          <a:solidFill>
            <a:srgbClr val="b3b3b3"/>
          </a:solidFill>
        </a:ln>
      </c:spPr>
    </c:backWall>
    <c:plotArea>
      <c:layout>
        <c:manualLayout>
          <c:layoutTarget val="inner"/>
          <c:xMode val="edge"/>
          <c:yMode val="edge"/>
          <c:x val="0.05575"/>
          <c:y val="0.0198888888888889"/>
          <c:w val="0.6114375"/>
          <c:h val="0.841111111111111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Итого с учетом кооф-та</c:v>
                </c:pt>
              </c:strCache>
            </c:strRef>
          </c:tx>
          <c:spPr>
            <a:solidFill>
              <a:srgbClr val="ffd320"/>
            </a:solidFill>
            <a:ln w="0">
              <a:noFill/>
            </a:ln>
          </c:spPr>
          <c:invertIfNegative val="0"/>
          <c:dPt>
            <c:idx val="6"/>
            <c:invertIfNegative val="0"/>
            <c:spPr>
              <a:solidFill>
                <a:srgbClr val="ffd320"/>
              </a:solidFill>
              <a:ln w="0">
                <a:noFill/>
              </a:ln>
            </c:spPr>
          </c:dPt>
          <c:dPt>
            <c:idx val="8"/>
            <c:invertIfNegative val="0"/>
            <c:spPr>
              <a:solidFill>
                <a:srgbClr val="ffd320"/>
              </a:solidFill>
              <a:ln w="0">
                <a:noFill/>
              </a:ln>
            </c:spPr>
          </c:dPt>
          <c:dLbls>
            <c:numFmt formatCode="General" sourceLinked="0"/>
            <c:dLbl>
              <c:idx val="6"/>
              <c:numFmt formatCode="General" sourceLinked="0"/>
              <c:txPr>
                <a:bodyPr wrap="none"/>
                <a:lstStyle/>
                <a:p>
                  <a:pPr>
                    <a:defRPr b="0" sz="1000" strike="noStrike" u="none">
                      <a:solidFill>
                        <a:srgbClr val="000000"/>
                      </a:solidFill>
                      <a:uFillTx/>
                      <a:latin typeface="Arial"/>
                    </a:defRPr>
                  </a:pPr>
                </a:p>
              </c:txPr>
              <c:showLegendKey val="0"/>
              <c:showVal val="1"/>
              <c:showCatName val="0"/>
              <c:showSerName val="0"/>
              <c:showPercent val="0"/>
              <c:separator> </c:separator>
            </c:dLbl>
            <c:dLbl>
              <c:idx val="8"/>
              <c:numFmt formatCode="General" sourceLinked="0"/>
              <c:txPr>
                <a:bodyPr wrap="none"/>
                <a:lstStyle/>
                <a:p>
                  <a:pPr>
                    <a:defRPr b="0" sz="1000" strike="noStrike" u="none">
                      <a:solidFill>
                        <a:srgbClr val="000000"/>
                      </a:solidFill>
                      <a:uFillTx/>
                      <a:latin typeface="Arial"/>
                    </a:defRPr>
                  </a:pPr>
                </a:p>
              </c:txPr>
              <c:showLegendKey val="0"/>
              <c:showVal val="1"/>
              <c:showCatName val="0"/>
              <c:showSerName val="0"/>
              <c:showPercent val="0"/>
              <c:separator> </c:separator>
            </c:dLbl>
            <c:txPr>
              <a:bodyPr wrap="none"/>
              <a:lstStyle/>
              <a:p>
                <a:pPr>
                  <a:defRPr b="0" sz="1000" strike="noStrike" u="none">
                    <a:solidFill>
                      <a:srgbClr val="000000"/>
                    </a:solidFill>
                    <a:uFillTx/>
                    <a:latin typeface="Arial"/>
                  </a:defRPr>
                </a:pPr>
              </a:p>
            </c:txPr>
            <c:showLegendKey val="0"/>
            <c:showVal val="1"/>
            <c:showCatName val="0"/>
            <c:showSerName val="0"/>
            <c:showPercent val="0"/>
            <c:separator> </c:separator>
            <c:showLeaderLines val="1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9"/>
                <c:pt idx="0">
                  <c:v>УО</c:v>
                </c:pt>
                <c:pt idx="1">
                  <c:v>АТМО</c:v>
                </c:pt>
                <c:pt idx="2">
                  <c:v>КУМИ</c:v>
                </c:pt>
                <c:pt idx="3">
                  <c:v>КСП</c:v>
                </c:pt>
                <c:pt idx="4">
                  <c:v>ФУ</c:v>
                </c:pt>
                <c:pt idx="5">
                  <c:v>СНД</c:v>
                </c:pt>
                <c:pt idx="6">
                  <c:v>УСЗН</c:v>
                </c:pt>
                <c:pt idx="7">
                  <c:v>УК</c:v>
                </c:pt>
                <c:pt idx="8">
                  <c:v>УЖТР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9"/>
                <c:pt idx="0">
                  <c:v>5.78</c:v>
                </c:pt>
                <c:pt idx="1">
                  <c:v>5.39</c:v>
                </c:pt>
                <c:pt idx="2">
                  <c:v>5.14</c:v>
                </c:pt>
                <c:pt idx="3">
                  <c:v>5.02</c:v>
                </c:pt>
                <c:pt idx="4">
                  <c:v>5.02</c:v>
                </c:pt>
                <c:pt idx="5">
                  <c:v>5.02</c:v>
                </c:pt>
                <c:pt idx="6">
                  <c:v>4.49</c:v>
                </c:pt>
                <c:pt idx="7">
                  <c:v>4.36</c:v>
                </c:pt>
                <c:pt idx="8">
                  <c:v>4.33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Балл </c:v>
                </c:pt>
              </c:strCache>
            </c:strRef>
          </c:tx>
          <c:spPr>
            <a:solidFill>
              <a:srgbClr val="004586"/>
            </a:solidFill>
            <a:ln w="0">
              <a:noFill/>
            </a:ln>
          </c:spPr>
          <c:invertIfNegative val="0"/>
          <c:dPt>
            <c:idx val="0"/>
            <c:invertIfNegative val="0"/>
            <c:spPr>
              <a:solidFill>
                <a:srgbClr val="004586"/>
              </a:solidFill>
              <a:ln w="0">
                <a:noFill/>
              </a:ln>
            </c:spPr>
          </c:dPt>
          <c:dPt>
            <c:idx val="1"/>
            <c:invertIfNegative val="0"/>
            <c:spPr>
              <a:solidFill>
                <a:srgbClr val="004586"/>
              </a:solidFill>
              <a:ln w="0">
                <a:noFill/>
              </a:ln>
            </c:spPr>
          </c:dPt>
          <c:dPt>
            <c:idx val="5"/>
            <c:invertIfNegative val="0"/>
            <c:spPr>
              <a:solidFill>
                <a:srgbClr val="004586"/>
              </a:solidFill>
              <a:ln w="0">
                <a:noFill/>
              </a:ln>
            </c:spPr>
          </c:dPt>
          <c:dPt>
            <c:idx val="8"/>
            <c:invertIfNegative val="0"/>
            <c:spPr>
              <a:solidFill>
                <a:srgbClr val="004586"/>
              </a:solidFill>
              <a:ln w="0">
                <a:noFill/>
              </a:ln>
            </c:spPr>
          </c:dPt>
          <c:dLbls>
            <c:numFmt formatCode="General" sourceLinked="0"/>
            <c:dLbl>
              <c:idx val="0"/>
              <c:numFmt formatCode="General" sourceLinked="0"/>
              <c:txPr>
                <a:bodyPr wrap="none"/>
                <a:lstStyle/>
                <a:p>
                  <a:pPr>
                    <a:defRPr b="0" sz="1000" strike="noStrike" u="none">
                      <a:solidFill>
                        <a:srgbClr val="000000"/>
                      </a:solidFill>
                      <a:uFillTx/>
                      <a:latin typeface="Arial"/>
                    </a:defRPr>
                  </a:pPr>
                </a:p>
              </c:txPr>
              <c:showLegendKey val="0"/>
              <c:showVal val="1"/>
              <c:showCatName val="0"/>
              <c:showSerName val="0"/>
              <c:showPercent val="0"/>
              <c:separator> </c:separator>
            </c:dLbl>
            <c:dLbl>
              <c:idx val="1"/>
              <c:numFmt formatCode="General" sourceLinked="0"/>
              <c:txPr>
                <a:bodyPr wrap="none"/>
                <a:lstStyle/>
                <a:p>
                  <a:pPr>
                    <a:defRPr b="0" sz="1000" strike="noStrike" u="none">
                      <a:solidFill>
                        <a:srgbClr val="000000"/>
                      </a:solidFill>
                      <a:uFillTx/>
                      <a:latin typeface="Arial"/>
                    </a:defRPr>
                  </a:pPr>
                </a:p>
              </c:txPr>
              <c:showLegendKey val="0"/>
              <c:showVal val="1"/>
              <c:showCatName val="0"/>
              <c:showSerName val="0"/>
              <c:showPercent val="0"/>
              <c:separator> </c:separator>
            </c:dLbl>
            <c:dLbl>
              <c:idx val="5"/>
              <c:numFmt formatCode="General" sourceLinked="0"/>
              <c:txPr>
                <a:bodyPr wrap="none"/>
                <a:lstStyle/>
                <a:p>
                  <a:pPr>
                    <a:defRPr b="0" sz="1000" strike="noStrike" u="none">
                      <a:solidFill>
                        <a:srgbClr val="000000"/>
                      </a:solidFill>
                      <a:uFillTx/>
                      <a:latin typeface="Arial"/>
                    </a:defRPr>
                  </a:pPr>
                </a:p>
              </c:txPr>
              <c:showLegendKey val="0"/>
              <c:showVal val="1"/>
              <c:showCatName val="0"/>
              <c:showSerName val="0"/>
              <c:showPercent val="0"/>
              <c:separator> </c:separator>
            </c:dLbl>
            <c:dLbl>
              <c:idx val="8"/>
              <c:numFmt formatCode="General" sourceLinked="0"/>
              <c:txPr>
                <a:bodyPr wrap="none"/>
                <a:lstStyle/>
                <a:p>
                  <a:pPr>
                    <a:defRPr b="0" sz="1000" strike="noStrike" u="none">
                      <a:solidFill>
                        <a:srgbClr val="000000"/>
                      </a:solidFill>
                      <a:uFillTx/>
                      <a:latin typeface="Arial"/>
                    </a:defRPr>
                  </a:pPr>
                </a:p>
              </c:txPr>
              <c:showLegendKey val="0"/>
              <c:showVal val="1"/>
              <c:showCatName val="0"/>
              <c:showSerName val="0"/>
              <c:showPercent val="0"/>
              <c:separator> </c:separator>
            </c:dLbl>
            <c:txPr>
              <a:bodyPr wrap="none"/>
              <a:lstStyle/>
              <a:p>
                <a:pPr>
                  <a:defRPr b="0" sz="1000" strike="noStrike" u="none">
                    <a:solidFill>
                      <a:srgbClr val="000000"/>
                    </a:solidFill>
                    <a:uFillTx/>
                    <a:latin typeface="Arial"/>
                  </a:defRPr>
                </a:pPr>
              </a:p>
            </c:txPr>
            <c:showLegendKey val="0"/>
            <c:showVal val="1"/>
            <c:showCatName val="0"/>
            <c:showSerName val="0"/>
            <c:showPercent val="0"/>
            <c:separator> </c:separator>
            <c:showLeaderLines val="1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9"/>
                <c:pt idx="0">
                  <c:v>УО</c:v>
                </c:pt>
                <c:pt idx="1">
                  <c:v>АТМО</c:v>
                </c:pt>
                <c:pt idx="2">
                  <c:v>КУМИ</c:v>
                </c:pt>
                <c:pt idx="3">
                  <c:v>КСП</c:v>
                </c:pt>
                <c:pt idx="4">
                  <c:v>ФУ</c:v>
                </c:pt>
                <c:pt idx="5">
                  <c:v>СНД</c:v>
                </c:pt>
                <c:pt idx="6">
                  <c:v>УСЗН</c:v>
                </c:pt>
                <c:pt idx="7">
                  <c:v>УК</c:v>
                </c:pt>
                <c:pt idx="8">
                  <c:v>УЖТР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9"/>
                <c:pt idx="0">
                  <c:v>4.82</c:v>
                </c:pt>
                <c:pt idx="1">
                  <c:v>4.49</c:v>
                </c:pt>
                <c:pt idx="2">
                  <c:v>4.28</c:v>
                </c:pt>
                <c:pt idx="3">
                  <c:v>4.18</c:v>
                </c:pt>
                <c:pt idx="4">
                  <c:v>4.18</c:v>
                </c:pt>
                <c:pt idx="5">
                  <c:v>4.18</c:v>
                </c:pt>
                <c:pt idx="6">
                  <c:v>3.73</c:v>
                </c:pt>
                <c:pt idx="7">
                  <c:v>3.63</c:v>
                </c:pt>
                <c:pt idx="8">
                  <c:v>3.61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Коофициэнт</c:v>
                </c:pt>
              </c:strCache>
            </c:strRef>
          </c:tx>
          <c:spPr>
            <a:solidFill>
              <a:srgbClr val="ff420e"/>
            </a:solidFill>
            <a:ln w="0">
              <a:noFill/>
            </a:ln>
          </c:spPr>
          <c:invertIfNegative val="0"/>
          <c:dLbls>
            <c:txPr>
              <a:bodyPr wrap="none"/>
              <a:lstStyle/>
              <a:p>
                <a:pPr>
                  <a:defRPr b="0" sz="1000" strike="noStrike" u="none">
                    <a:solidFill>
                      <a:srgbClr val="000000"/>
                    </a:solidFill>
                    <a:uFillTx/>
                    <a:latin typeface="Arial"/>
                  </a:defRPr>
                </a:pPr>
              </a:p>
            </c:txPr>
            <c:showLegendKey val="0"/>
            <c:showVal val="0"/>
            <c:showCatName val="0"/>
            <c:showSerName val="0"/>
            <c:showPercent val="0"/>
            <c:separator> </c:separator>
            <c:showLeaderLines val="1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9"/>
                <c:pt idx="0">
                  <c:v>УО</c:v>
                </c:pt>
                <c:pt idx="1">
                  <c:v>АТМО</c:v>
                </c:pt>
                <c:pt idx="2">
                  <c:v>КУМИ</c:v>
                </c:pt>
                <c:pt idx="3">
                  <c:v>КСП</c:v>
                </c:pt>
                <c:pt idx="4">
                  <c:v>ФУ</c:v>
                </c:pt>
                <c:pt idx="5">
                  <c:v>СНД</c:v>
                </c:pt>
                <c:pt idx="6">
                  <c:v>УСЗН</c:v>
                </c:pt>
                <c:pt idx="7">
                  <c:v>УК</c:v>
                </c:pt>
                <c:pt idx="8">
                  <c:v>УЖТР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9"/>
                <c:pt idx="0">
                  <c:v>1.2</c:v>
                </c:pt>
                <c:pt idx="1">
                  <c:v>1.2</c:v>
                </c:pt>
                <c:pt idx="2">
                  <c:v>1.2</c:v>
                </c:pt>
                <c:pt idx="3">
                  <c:v>1.2</c:v>
                </c:pt>
                <c:pt idx="4">
                  <c:v>1.2</c:v>
                </c:pt>
                <c:pt idx="5">
                  <c:v>1.2</c:v>
                </c:pt>
                <c:pt idx="6">
                  <c:v>1.2</c:v>
                </c:pt>
                <c:pt idx="7">
                  <c:v>1.2</c:v>
                </c:pt>
                <c:pt idx="8">
                  <c:v>1.2</c:v>
                </c:pt>
              </c:numCache>
            </c:numRef>
          </c:val>
        </c:ser>
        <c:gapWidth val="100"/>
        <c:shape val="cylinder"/>
        <c:axId val="34539714"/>
        <c:axId val="11509422"/>
        <c:axId val="96416318"/>
      </c:bar3DChart>
      <c:catAx>
        <c:axId val="34539714"/>
        <c:scaling>
          <c:orientation val="minMax"/>
        </c:scaling>
        <c:delete val="0"/>
        <c:axPos val="b"/>
        <c:numFmt formatCode="[$-419]dd/mm/yyyy" sourceLinked="0"/>
        <c:majorTickMark val="out"/>
        <c:minorTickMark val="none"/>
        <c:tickLblPos val="nextTo"/>
        <c:spPr>
          <a:ln w="0">
            <a:solidFill>
              <a:srgbClr val="b3b3b3"/>
            </a:solidFill>
          </a:ln>
        </c:spPr>
        <c:txPr>
          <a:bodyPr/>
          <a:lstStyle/>
          <a:p>
            <a:pPr>
              <a:defRPr b="0" sz="1000" strike="noStrike" u="none">
                <a:solidFill>
                  <a:srgbClr val="000000"/>
                </a:solidFill>
                <a:uFillTx/>
                <a:latin typeface="Arial"/>
              </a:defRPr>
            </a:pPr>
          </a:p>
        </c:txPr>
        <c:crossAx val="11509422"/>
        <c:crosses val="autoZero"/>
        <c:auto val="1"/>
        <c:lblAlgn val="ctr"/>
        <c:lblOffset val="100"/>
        <c:noMultiLvlLbl val="0"/>
      </c:catAx>
      <c:valAx>
        <c:axId val="11509422"/>
        <c:scaling>
          <c:orientation val="minMax"/>
        </c:scaling>
        <c:delete val="0"/>
        <c:axPos val="l"/>
        <c:majorGridlines>
          <c:spPr>
            <a:ln w="0">
              <a:solidFill>
                <a:srgbClr val="b3b3b3"/>
              </a:solidFill>
            </a:ln>
          </c:spPr>
        </c:majorGridlines>
        <c:numFmt formatCode="General" sourceLinked="0"/>
        <c:majorTickMark val="out"/>
        <c:minorTickMark val="none"/>
        <c:tickLblPos val="nextTo"/>
        <c:spPr>
          <a:ln w="0">
            <a:solidFill>
              <a:srgbClr val="b3b3b3"/>
            </a:solidFill>
          </a:ln>
        </c:spPr>
        <c:txPr>
          <a:bodyPr/>
          <a:lstStyle/>
          <a:p>
            <a:pPr>
              <a:defRPr b="0" sz="1000" strike="noStrike" u="none">
                <a:solidFill>
                  <a:srgbClr val="000000"/>
                </a:solidFill>
                <a:uFillTx/>
                <a:latin typeface="Arial"/>
              </a:defRPr>
            </a:pPr>
          </a:p>
        </c:txPr>
        <c:crossAx val="34539714"/>
        <c:crosses val="autoZero"/>
        <c:crossBetween val="between"/>
      </c:valAx>
      <c:serAx>
        <c:axId val="9641631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0">
            <a:solidFill>
              <a:srgbClr val="b3b3b3"/>
            </a:solidFill>
          </a:ln>
        </c:spPr>
        <c:txPr>
          <a:bodyPr/>
          <a:lstStyle/>
          <a:p>
            <a:pPr>
              <a:defRPr b="0" sz="1000" strike="noStrike" u="none">
                <a:solidFill>
                  <a:srgbClr val="000000"/>
                </a:solidFill>
                <a:uFillTx/>
                <a:latin typeface="Arial"/>
              </a:defRPr>
            </a:pPr>
          </a:p>
        </c:txPr>
        <c:crossAx val="11509422"/>
        <c:crosses val="autoZero"/>
      </c:serAx>
    </c:plotArea>
    <c:legend>
      <c:legendPos val="r"/>
      <c:overlay val="0"/>
      <c:spPr>
        <a:noFill/>
        <a:ln w="0">
          <a:noFill/>
        </a:ln>
      </c:spPr>
      <c:txPr>
        <a:bodyPr/>
        <a:lstStyle/>
        <a:p>
          <a:pPr>
            <a:defRPr b="0" sz="1000" strike="noStrike" u="none">
              <a:solidFill>
                <a:srgbClr val="000000"/>
              </a:solidFill>
              <a:uFillTx/>
              <a:latin typeface="Arial"/>
            </a:defRPr>
          </a:pPr>
        </a:p>
      </c:txPr>
    </c:legend>
    <c:plotVisOnly val="1"/>
    <c:dispBlanksAs val="gap"/>
  </c:chart>
  <c:spPr>
    <a:noFill/>
    <a:ln w="0">
      <a:noFill/>
    </a:ln>
  </c:spPr>
</c:chartSpace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Application>LibreOffice/24.8.4.2$Linux_X86_64 LibreOffice_project/480$Build-2</Application>
  <AppVersion>15.0000</AppVersion>
  <Pages>2</Pages>
  <Words>277</Words>
  <Characters>1964</Characters>
  <CharactersWithSpaces>2270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2021-03-31T07:44:00Z</dcterms:created>
  <dc:creator>Специалист2 бюджетного отдела</dc:creator>
  <dc:description/>
  <dc:language>ru-RU</dc:language>
  <cp:lastModifiedBy/>
  <cp:lastPrinted>2025-04-03T14:51:30Z</cp:lastPrinted>
  <dcterms:modified xsi:type="dcterms:W3CDTF">2025-04-14T09:50:48Z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