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widowControl/>
        <w:numPr>
          <w:ilvl w:val="0"/>
          <w:numId w:val="0"/>
        </w:numPr>
        <w:ind w:hanging="0" w:left="0"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 ЗАПИСКА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к отчету  об исполнении бюджета 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Тяжинского муниципального округа</w:t>
      </w:r>
    </w:p>
    <w:p>
      <w:pPr>
        <w:pStyle w:val="Normal"/>
        <w:widowControl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за первое полугодие 2025 года</w:t>
      </w:r>
    </w:p>
    <w:p>
      <w:pPr>
        <w:pStyle w:val="Normal"/>
        <w:widowControl/>
        <w:jc w:val="both"/>
        <w:rPr>
          <w:sz w:val="28"/>
          <w:szCs w:val="24"/>
        </w:rPr>
      </w:pPr>
      <w:r>
        <w:rPr>
          <w:sz w:val="28"/>
          <w:szCs w:val="24"/>
        </w:rPr>
      </w:r>
    </w:p>
    <w:p>
      <w:pPr>
        <w:pStyle w:val="Normal"/>
        <w:keepNext w:val="true"/>
        <w:widowControl/>
        <w:numPr>
          <w:ilvl w:val="0"/>
          <w:numId w:val="0"/>
        </w:numPr>
        <w:ind w:hanging="0" w:left="36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Исполнение бюджета Тяжинского муниципального округа по доходам</w:t>
      </w:r>
    </w:p>
    <w:p>
      <w:pPr>
        <w:pStyle w:val="Normal"/>
        <w:widowControl/>
        <w:rPr>
          <w:sz w:val="24"/>
          <w:szCs w:val="24"/>
          <w:shd w:fill="FFFF00" w:val="clear"/>
        </w:rPr>
      </w:pPr>
      <w:r>
        <w:rPr>
          <w:sz w:val="24"/>
          <w:szCs w:val="24"/>
          <w:shd w:fill="FFFF00" w:val="clear"/>
        </w:rPr>
      </w:r>
    </w:p>
    <w:p>
      <w:pPr>
        <w:pStyle w:val="BodyTextIndent2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  <w:shd w:fill="FFFF00" w:val="clear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 xml:space="preserve">За первое полугодие 2025 года в бюджет Тяжинского муниципального округа поступление доходов составило  1 050 045 609,52 руб.,  что составило 53,1 % к годовому плану.  </w:t>
      </w:r>
    </w:p>
    <w:p>
      <w:pPr>
        <w:pStyle w:val="Normal"/>
        <w:widowControl/>
        <w:tabs>
          <w:tab w:val="clear" w:pos="708"/>
          <w:tab w:val="left" w:pos="0" w:leader="none"/>
          <w:tab w:val="left" w:pos="540" w:leader="none"/>
        </w:tabs>
        <w:spacing w:before="0" w:after="120"/>
        <w:ind w:left="283"/>
        <w:jc w:val="both"/>
        <w:rPr>
          <w:color w:val="auto"/>
          <w:highlight w:val="none"/>
          <w:shd w:fill="FFFF00" w:val="clear"/>
        </w:rPr>
      </w:pPr>
      <w:r>
        <w:rPr>
          <w:color w:val="000000"/>
          <w:sz w:val="28"/>
          <w:szCs w:val="28"/>
          <w:shd w:fill="auto" w:val="clear"/>
        </w:rPr>
        <w:t xml:space="preserve">         </w:t>
      </w:r>
      <w:r>
        <w:rPr>
          <w:color w:val="000000"/>
          <w:sz w:val="28"/>
          <w:szCs w:val="28"/>
          <w:shd w:fill="auto" w:val="clear"/>
        </w:rPr>
        <w:t xml:space="preserve">По налоговым и неналоговым доходам  при плане – 320 558 119,26 руб.  поступило 150 530 652,06 руб., исполнение составило  47,0%  к годовому плану.  </w:t>
      </w:r>
    </w:p>
    <w:p>
      <w:pPr>
        <w:pStyle w:val="Normal"/>
        <w:widowControl/>
        <w:spacing w:before="0" w:after="120"/>
        <w:ind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         </w:t>
      </w:r>
      <w:r>
        <w:rPr>
          <w:color w:val="000000"/>
          <w:sz w:val="28"/>
          <w:szCs w:val="28"/>
          <w:shd w:fill="auto" w:val="clear"/>
        </w:rPr>
        <w:t>Поступление в местный бюджет обеспечено, в основном, за счет: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 налога на доходы физических лиц (81 514 832,41 руб. или 54,1% от суммы налоговых и неналоговых доходов);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налога, взимаемого в связи с применением упрощенной системы налогообложения (21 791 750,24 руб. или 14,5%);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доходов от использования имущества, находящегося в государственной и муниципальной собственности (12 482 560,88 руб. или 8,3%);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акцизов на нефтепродукты (11 266 921,34 руб. или 7,5%);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земельного налога (7 783 890,15 руб. или 5,2%);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единого сельскохозяйственного налога (5 366 190,35 руб. или 3,6%);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 государственной пошлины (4 756 417,46 руб. или 3,2%);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налога, взимаемого в связи с применением патентной системы налогообложения (2 273 353,24  руб. или 1,5%)</w:t>
      </w:r>
    </w:p>
    <w:p>
      <w:pPr>
        <w:pStyle w:val="Normal"/>
        <w:widowControl/>
        <w:tabs>
          <w:tab w:val="clear" w:pos="708"/>
          <w:tab w:val="left" w:pos="0" w:leader="none"/>
        </w:tabs>
        <w:spacing w:before="0" w:after="120"/>
        <w:ind w:firstLine="284" w:left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/>
        <w:ind w:firstLine="5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За первое полугодие 2025 года в сравнении с тем же периодом 2024 года налоговых и неналоговых доходов поступило </w:t>
      </w:r>
      <w:r>
        <w:rPr>
          <w:bCs/>
          <w:color w:val="000000"/>
          <w:sz w:val="28"/>
          <w:szCs w:val="28"/>
          <w:shd w:fill="auto" w:val="clear"/>
        </w:rPr>
        <w:t>на 14 605 010,46 руб.</w:t>
      </w:r>
      <w:r>
        <w:rPr>
          <w:color w:val="000000"/>
          <w:sz w:val="28"/>
          <w:szCs w:val="28"/>
          <w:shd w:fill="auto" w:val="clear"/>
        </w:rPr>
        <w:t xml:space="preserve"> больше.</w:t>
      </w:r>
    </w:p>
    <w:p>
      <w:pPr>
        <w:pStyle w:val="Normal"/>
        <w:widowControl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Увеличение сложилось в основном по следующим видам налогов и платежей: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overflowPunct w:val="false"/>
        <w:bidi w:val="0"/>
        <w:spacing w:lineRule="auto" w:line="240"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iCs/>
          <w:color w:val="000000"/>
          <w:sz w:val="28"/>
          <w:szCs w:val="28"/>
          <w:shd w:fill="auto" w:val="clear"/>
          <w:lang w:eastAsia="x-none"/>
        </w:rPr>
        <w:t>- по налогу, взимаемому в связи с применением упрощенной системы налогообложения на 7 950 010,56 руб., в связи с увеличением дифференцированного норматива отчислений в бюджет округа с 57,45% в 2024 году до 70% в 2025 году;</w:t>
      </w:r>
    </w:p>
    <w:p>
      <w:pPr>
        <w:pStyle w:val="ListParagraph"/>
        <w:tabs>
          <w:tab w:val="clear" w:pos="708"/>
          <w:tab w:val="left" w:pos="0" w:leader="none"/>
          <w:tab w:val="left" w:pos="567" w:leader="none"/>
        </w:tabs>
        <w:ind w:firstLine="567" w:left="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по налогу на доходы физических лиц на 6 434 081,17</w:t>
      </w:r>
      <w:r>
        <w:rPr>
          <w:bCs/>
          <w:color w:val="000000"/>
          <w:sz w:val="28"/>
          <w:szCs w:val="28"/>
          <w:shd w:fill="auto" w:val="clear"/>
        </w:rPr>
        <w:t>руб., в связи с ростом оплаты труда, увеличением дополнительного норматива отчислений от НДФЛ с 36,39% в 2024 году до 37,12% в 2025 году, а также в связи с поступлением в 2025 году НДФЛ за декабрь 2024 года;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единому сельскохозяйственному налогу на 4 574 694,89 руб., в связи с увеличением прибыли за 2024 год по ИП Рапана Т.Е.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auto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государственной пошлине на 3 566 749,57 руб., в связи с повышением ставок с сентября 2024 года;</w:t>
      </w:r>
    </w:p>
    <w:p>
      <w:pPr>
        <w:pStyle w:val="Normal"/>
        <w:widowControl/>
        <w:tabs>
          <w:tab w:val="clear" w:pos="708"/>
          <w:tab w:val="left" w:pos="1260" w:leader="none"/>
        </w:tabs>
        <w:ind w:firstLine="540"/>
        <w:jc w:val="both"/>
        <w:rPr>
          <w:highlight w:val="none"/>
          <w:shd w:fill="FFFF00" w:val="clear"/>
        </w:rPr>
      </w:pPr>
      <w:r>
        <w:rPr>
          <w:bCs/>
          <w:iCs/>
          <w:color w:val="000000"/>
          <w:sz w:val="28"/>
          <w:szCs w:val="28"/>
          <w:shd w:fill="auto" w:val="clear"/>
          <w:lang w:eastAsia="x-none"/>
        </w:rPr>
        <w:t>- по доходам от оказания платных услуг и компенсации затрат государства на 779 843,27руб., в связи с поступлением в первом полугодии 2025 года возврата дебиторской задолженности прошлых лет в сумме 831 419,40 руб.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color w:val="FFFF00"/>
          <w:highlight w:val="none"/>
          <w:shd w:fill="FFFF00" w:val="clear"/>
        </w:rPr>
      </w:pPr>
      <w:r>
        <w:rPr>
          <w:color w:val="FFFF00"/>
          <w:shd w:fill="FFFF00" w:val="clear"/>
        </w:rPr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auto"/>
          <w:highlight w:val="none"/>
          <w:shd w:fill="FFFF00" w:val="clear"/>
        </w:rPr>
      </w:pPr>
      <w:r>
        <w:rPr>
          <w:color w:val="000000"/>
          <w:shd w:fill="FFFF00" w:val="clear"/>
        </w:rPr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highlight w:val="none"/>
          <w:shd w:fill="auto" w:val="clear"/>
        </w:rPr>
      </w:pPr>
      <w:r>
        <w:rPr>
          <w:iCs/>
          <w:sz w:val="28"/>
          <w:szCs w:val="28"/>
          <w:shd w:fill="auto" w:val="clear"/>
          <w:lang w:eastAsia="x-none"/>
        </w:rPr>
        <w:t xml:space="preserve">    </w:t>
      </w:r>
      <w:r>
        <w:rPr>
          <w:sz w:val="28"/>
          <w:szCs w:val="28"/>
          <w:shd w:fill="auto" w:val="clear"/>
        </w:rPr>
        <w:t>Уменьшение в основном сложилось по следующим видам налогов и платежей: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overflowPunct w:val="false"/>
        <w:bidi w:val="0"/>
        <w:spacing w:lineRule="auto" w:line="240" w:before="0" w:after="0"/>
        <w:ind w:firstLine="567" w:left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- по доходам от продажи материальных и нематериальных активов на                         3 585 918,06 руб., по факту состоявшихся сделок.;</w:t>
      </w:r>
    </w:p>
    <w:p>
      <w:pPr>
        <w:pStyle w:val="Normal"/>
        <w:widowControl/>
        <w:tabs>
          <w:tab w:val="clear" w:pos="708"/>
          <w:tab w:val="left" w:pos="0" w:leader="none"/>
        </w:tabs>
        <w:jc w:val="both"/>
        <w:rPr>
          <w:highlight w:val="none"/>
          <w:shd w:fill="auto" w:val="clear"/>
        </w:rPr>
      </w:pPr>
      <w:r>
        <w:rPr>
          <w:iCs/>
          <w:color w:val="000000"/>
          <w:sz w:val="28"/>
          <w:szCs w:val="28"/>
          <w:shd w:fill="auto" w:val="clear"/>
          <w:lang w:eastAsia="x-none"/>
        </w:rPr>
        <w:t>- по доходам от использования имущества, находящегося в государственной и муниципальной собственности на 2 593 421,46 руб.,  за счет заключения в первом полугодии 2024 года новых договоров аренды земельных участков на земли сельхоз. назначения и земли производственного назначения и внесения задатка;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000000"/>
        </w:rPr>
      </w:pPr>
      <w:r>
        <w:rPr>
          <w:iCs/>
          <w:color w:val="000000"/>
          <w:sz w:val="28"/>
          <w:szCs w:val="28"/>
          <w:shd w:fill="auto" w:val="clear"/>
          <w:lang w:eastAsia="x-none"/>
        </w:rPr>
        <w:t>- по земельному налогу на 1 308 832,83 руб., в основном в связи с оплатой задолженности в 2024 году ООО «Итатуголь» (1498,4 тыс. руб);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  <w:shd w:fill="auto" w:val="clear"/>
        </w:rPr>
        <w:t>- по налогу, взимаемому в связи с применением патентной системы налогообложения на 951 526,45 руб., в связи с поступлением в начале 2024 года списанных в конце 2023 года сумм и в связи с произведенными списаниями данного налога в первом полугодии 2025 года.</w:t>
      </w:r>
    </w:p>
    <w:p>
      <w:pPr>
        <w:pStyle w:val="Normal"/>
        <w:tabs>
          <w:tab w:val="clear" w:pos="708"/>
          <w:tab w:val="left" w:pos="0" w:leader="none"/>
          <w:tab w:val="left" w:pos="709" w:leader="none"/>
        </w:tabs>
        <w:ind w:firstLine="56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widowControl/>
        <w:tabs>
          <w:tab w:val="clear" w:pos="708"/>
          <w:tab w:val="left" w:pos="0" w:leader="none"/>
        </w:tabs>
        <w:ind w:firstLine="567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widowControl/>
        <w:jc w:val="both"/>
        <w:rPr>
          <w:shd w:fill="auto" w:val="clear"/>
        </w:rPr>
      </w:pPr>
      <w:r>
        <w:rPr>
          <w:sz w:val="28"/>
          <w:szCs w:val="28"/>
          <w:shd w:fill="auto" w:val="clear"/>
        </w:rPr>
        <w:t xml:space="preserve">     </w:t>
      </w:r>
    </w:p>
    <w:p>
      <w:pPr>
        <w:pStyle w:val="BodyTextIndent"/>
        <w:spacing w:lineRule="auto" w:line="276"/>
        <w:ind w:hanging="0"/>
        <w:jc w:val="center"/>
        <w:rPr>
          <w:b/>
        </w:rPr>
      </w:pPr>
      <w:r>
        <w:rPr>
          <w:b/>
        </w:rPr>
        <w:t>Исполнение бюджета округа  по расходам</w:t>
      </w:r>
    </w:p>
    <w:p>
      <w:pPr>
        <w:pStyle w:val="BodyTextIndent"/>
        <w:spacing w:lineRule="auto" w:line="276"/>
        <w:jc w:val="both"/>
        <w:rPr/>
      </w:pPr>
      <w:r>
        <w:rPr/>
        <w:t>Бюджет Тяжинского муниципального округа  за  первое полугодие 2025 года исполнен на 52,8 % от уточненного плана  (уточненный план по расходам                  1 990 239 846,07 руб., факт  1 051 503 832,59 руб.).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По отраслевому признаку исполнения расходов местного бюджета проведено:</w:t>
      </w:r>
    </w:p>
    <w:p>
      <w:pPr>
        <w:pStyle w:val="BodyTextIndent"/>
        <w:spacing w:lineRule="auto" w:line="276"/>
        <w:ind w:hanging="0"/>
        <w:jc w:val="right"/>
        <w:rPr/>
      </w:pPr>
      <w:r>
        <w:rPr/>
        <w:t>(руб).</w:t>
      </w:r>
    </w:p>
    <w:tbl>
      <w:tblPr>
        <w:tblW w:w="9945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3557"/>
        <w:gridCol w:w="1984"/>
        <w:gridCol w:w="1985"/>
        <w:gridCol w:w="1473"/>
      </w:tblGrid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исполнения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171 347 739,00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75 701 202,07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44,2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2 032 300,00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830 554,16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61 722 649,29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29 278 841,22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47,5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199 113 607,02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100 773 890,00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89 012 093,03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25 452 136,31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28,6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6 567 392,08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895 180 549,73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491 214 209,46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54,9</w:t>
            </w:r>
          </w:p>
        </w:tc>
      </w:tr>
      <w:tr>
        <w:trPr>
          <w:trHeight w:val="232" w:hRule="atLeast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245 634 083,16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120 717 969,44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317 056 432,76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206 467 798,71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65,1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637 500,00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116 570,00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18,3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1 935 500,00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950 661,22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>
        <w:trPr/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Indent"/>
              <w:spacing w:lineRule="auto" w:line="276"/>
              <w:ind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1 990 239 846,07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1 051 503 832,59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Indent"/>
              <w:spacing w:lineRule="auto" w:line="276"/>
              <w:ind w:hanging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52,8</w:t>
            </w:r>
          </w:p>
        </w:tc>
      </w:tr>
    </w:tbl>
    <w:p>
      <w:pPr>
        <w:pStyle w:val="BodyTextIndent"/>
        <w:spacing w:lineRule="auto" w:line="276"/>
        <w:ind w:firstLine="567"/>
        <w:rPr/>
      </w:pPr>
      <w:r>
        <w:rPr/>
      </w:r>
    </w:p>
    <w:p>
      <w:pPr>
        <w:pStyle w:val="BodyTextIndent"/>
        <w:spacing w:lineRule="auto" w:line="276"/>
        <w:ind w:firstLine="567"/>
        <w:rPr>
          <w:b/>
          <w:u w:val="single"/>
        </w:rPr>
      </w:pPr>
      <w:r>
        <w:rPr>
          <w:b/>
        </w:rPr>
        <w:t>  </w:t>
      </w:r>
      <w:r>
        <w:rPr>
          <w:b/>
          <w:u w:val="single"/>
        </w:rPr>
        <w:t>Общегосударственные вопросы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</w:t>
      </w:r>
      <w:r>
        <w:rPr/>
        <w:t>Исполнение по данному разделу составило 75 701 202,07</w:t>
      </w:r>
      <w:r>
        <w:rPr>
          <w:szCs w:val="28"/>
        </w:rPr>
        <w:t xml:space="preserve"> руб. при плане 171 347 739,00  руб. или 44,2 %.    </w:t>
      </w:r>
      <w:r>
        <w:rPr/>
        <w:t xml:space="preserve">       </w:t>
      </w:r>
    </w:p>
    <w:p>
      <w:pPr>
        <w:pStyle w:val="BodyTextIndent"/>
        <w:jc w:val="both"/>
        <w:rPr/>
      </w:pPr>
      <w:r>
        <w:rPr/>
        <w:t xml:space="preserve">По данному разделу отражаются расходы на функционирование высшего должностного лица – главы муниципального округа, Совета народных депутатов ТМО, Контрольно-счетной палаты ТМО, органов местного самоуправления, прочие общегосударственные вопросы, не включенные в другие разделы.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оборона</w:t>
      </w:r>
      <w:r>
        <w:rPr>
          <w:u w:val="none"/>
        </w:rPr>
        <w:t xml:space="preserve">    </w:t>
      </w:r>
      <w:r>
        <w:rPr>
          <w:b w:val="false"/>
          <w:bCs w:val="false"/>
          <w:u w:val="none"/>
        </w:rPr>
        <w:t>исполнение – 40,9 %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(уточненный план  2 032 300,00 руб., исполнено 830 554,16 руб.)</w:t>
        <w:tab/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безопасность и правоохранительная деятельность</w:t>
      </w:r>
      <w:r>
        <w:rPr>
          <w:u w:val="none"/>
        </w:rPr>
        <w:t xml:space="preserve">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rPr/>
      </w:pPr>
      <w:r>
        <w:rPr/>
        <w:t xml:space="preserve"> </w:t>
      </w:r>
      <w:r>
        <w:rPr/>
        <w:t>1. Гражданская оборона:</w:t>
      </w:r>
    </w:p>
    <w:p>
      <w:pPr>
        <w:pStyle w:val="BodyTextIndent"/>
        <w:spacing w:lineRule="auto" w:line="276"/>
        <w:ind w:hanging="0" w:left="720"/>
        <w:rPr/>
      </w:pPr>
      <w:r>
        <w:rPr/>
        <w:t>План – 100 000,00  руб.</w:t>
      </w:r>
    </w:p>
    <w:p>
      <w:pPr>
        <w:pStyle w:val="BodyTextIndent"/>
        <w:spacing w:lineRule="auto" w:line="276"/>
        <w:rPr/>
      </w:pPr>
      <w:r>
        <w:rPr/>
        <w:t>Факт -  0,00 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</w:t>
      </w:r>
      <w:r>
        <w:rPr/>
        <w:t>Исполнение – 0 %</w:t>
      </w:r>
    </w:p>
    <w:p>
      <w:pPr>
        <w:pStyle w:val="BodyTextIndent"/>
        <w:spacing w:lineRule="auto" w:line="276"/>
        <w:ind w:hanging="0"/>
        <w:rPr/>
      </w:pPr>
      <w:r>
        <w:rPr/>
        <w:t>2.  Защита населения и территории от чрезвычайных ситуаций природного и техногенного характера, пожарная безопасность: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31 803 296,4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— 18 074 406,9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56,8 %</w:t>
      </w:r>
    </w:p>
    <w:p>
      <w:pPr>
        <w:pStyle w:val="BodyTextIndent"/>
        <w:spacing w:lineRule="auto" w:line="276"/>
        <w:ind w:hanging="0"/>
        <w:rPr/>
      </w:pPr>
      <w:r>
        <w:rPr/>
        <w:t>3.  Другие вопросы в области национальной безопасности и правоохранительной деятельности (мероприятия по пожарной безопасности,  антитеррористической защищенности, безопасности дорожного движения, ЕДДС):</w:t>
      </w:r>
    </w:p>
    <w:p>
      <w:pPr>
        <w:pStyle w:val="BodyTextIndent"/>
        <w:spacing w:lineRule="auto" w:line="276"/>
        <w:ind w:hanging="0" w:left="644"/>
        <w:rPr/>
      </w:pPr>
      <w:r>
        <w:rPr/>
        <w:t xml:space="preserve">  </w:t>
      </w:r>
      <w:r>
        <w:rPr/>
        <w:t>План – 29 819 352,89  руб.</w:t>
      </w:r>
    </w:p>
    <w:p>
      <w:pPr>
        <w:pStyle w:val="BodyTextIndent"/>
        <w:spacing w:lineRule="auto" w:line="276"/>
        <w:rPr/>
      </w:pPr>
      <w:r>
        <w:rPr/>
        <w:t xml:space="preserve"> </w:t>
      </w:r>
      <w:r>
        <w:rPr/>
        <w:t>Факт -  11 204 434,32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</w:t>
      </w:r>
      <w:r>
        <w:rPr/>
        <w:t>Исполнение –  37,6 %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61 722 649,29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29 278 841,22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47,5 %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/>
      </w:pPr>
      <w:r>
        <w:rPr/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Национальная экономика</w:t>
      </w:r>
      <w:r>
        <w:rPr>
          <w:b w:val="false"/>
          <w:bCs w:val="false"/>
          <w:u w:val="none"/>
        </w:rPr>
        <w:t xml:space="preserve">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 xml:space="preserve"> </w:t>
      </w:r>
      <w:r>
        <w:rPr/>
        <w:t>1. Топливно-энергетический комплекс: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123 576 200,00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86 304 552,86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69,8 %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2. Дорожное хозяйство (дорожные фонды):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74 182 407,02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14 424 637,14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19,4 %</w:t>
      </w:r>
    </w:p>
    <w:p>
      <w:pPr>
        <w:pStyle w:val="BodyTextIndent"/>
        <w:tabs>
          <w:tab w:val="clear" w:pos="708"/>
          <w:tab w:val="left" w:pos="567" w:leader="none"/>
          <w:tab w:val="left" w:pos="993" w:leader="none"/>
        </w:tabs>
        <w:spacing w:lineRule="auto" w:line="276"/>
        <w:ind w:hanging="0"/>
        <w:jc w:val="both"/>
        <w:rPr/>
      </w:pPr>
      <w:r>
        <w:rPr/>
        <w:t>3. Другие вопросы в области национальной экономики (техническая инвентаризация, паспортизация объектов, межевание земельных участков,   карстовые работы):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 </w:t>
      </w:r>
      <w:r>
        <w:rPr/>
        <w:t>План – 1 355 000,00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– 44 700,00 руб.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  <w:t xml:space="preserve">          </w:t>
      </w:r>
      <w:r>
        <w:rPr/>
        <w:t>Исполнение – 3,3 %</w:t>
      </w:r>
    </w:p>
    <w:p>
      <w:pPr>
        <w:pStyle w:val="BodyTextIndent"/>
        <w:spacing w:lineRule="auto" w:line="276"/>
        <w:ind w:hanging="0" w:left="36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</w:t>
      </w: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199 113 607,02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 100 773 890,00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</w:t>
      </w:r>
      <w:r>
        <w:rPr/>
        <w:t>исполнение составило 50,6 %</w:t>
      </w:r>
    </w:p>
    <w:p>
      <w:pPr>
        <w:pStyle w:val="BodyTextIndent"/>
        <w:spacing w:lineRule="auto" w:line="276"/>
        <w:ind w:hanging="0" w:left="928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spacing w:lineRule="auto" w:line="276"/>
        <w:ind w:hanging="0" w:left="928"/>
        <w:jc w:val="both"/>
        <w:rPr/>
      </w:pPr>
      <w:r>
        <w:rPr>
          <w:b/>
          <w:u w:val="single"/>
        </w:rPr>
        <w:t>Жилищно – коммунальное хозяйство</w:t>
      </w:r>
      <w:r>
        <w:rPr/>
        <w:t xml:space="preserve">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отражаются расходы: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1.</w:t>
      </w:r>
      <w:r>
        <w:rPr/>
        <w:t xml:space="preserve">  </w:t>
      </w:r>
      <w:r>
        <w:rPr>
          <w:color w:themeColor="dark1" w:val="000000"/>
        </w:rPr>
        <w:t>Жилищное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5 343 507,65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2 315 198,93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43,3%</w:t>
      </w:r>
    </w:p>
    <w:p>
      <w:pPr>
        <w:pStyle w:val="BodyTextIndent"/>
        <w:spacing w:lineRule="auto" w:line="276"/>
        <w:ind w:hanging="0"/>
        <w:jc w:val="both"/>
        <w:rPr/>
      </w:pPr>
      <w:r>
        <w:rPr>
          <w:color w:themeColor="dark1" w:val="000000"/>
        </w:rPr>
        <w:t>2.  Коммунальное хозяйство</w:t>
      </w:r>
      <w:r>
        <w:rPr/>
        <w:t>:</w:t>
      </w:r>
    </w:p>
    <w:p>
      <w:pPr>
        <w:pStyle w:val="BodyTextIndent"/>
        <w:spacing w:lineRule="auto" w:line="276"/>
        <w:ind w:hanging="0" w:left="644"/>
        <w:jc w:val="both"/>
        <w:rPr/>
      </w:pPr>
      <w:r>
        <w:rPr/>
        <w:t xml:space="preserve">      </w:t>
      </w:r>
      <w:r>
        <w:rPr/>
        <w:t>План – 26 338 961,72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12 876 176,87 руб.</w:t>
      </w:r>
    </w:p>
    <w:p>
      <w:pPr>
        <w:pStyle w:val="BodyTextIndent"/>
        <w:spacing w:lineRule="auto" w:line="276"/>
        <w:ind w:hanging="0"/>
        <w:rPr/>
      </w:pPr>
      <w:r>
        <w:rPr/>
        <w:t xml:space="preserve">                </w:t>
      </w:r>
      <w:r>
        <w:rPr/>
        <w:t>Исполнение – 48,9 %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>3.  Благоустройство: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План – 57 329 623,66 руб.</w:t>
      </w:r>
    </w:p>
    <w:p>
      <w:pPr>
        <w:pStyle w:val="BodyTextIndent"/>
        <w:spacing w:lineRule="auto" w:line="276"/>
        <w:jc w:val="both"/>
        <w:rPr/>
      </w:pPr>
      <w:r>
        <w:rPr/>
        <w:t xml:space="preserve">     </w:t>
      </w:r>
      <w:r>
        <w:rPr/>
        <w:t>Факт -  10 260 760,51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         </w:t>
      </w:r>
      <w:r>
        <w:rPr/>
        <w:t>Исполнение – 17,9 %</w:t>
      </w:r>
    </w:p>
    <w:p>
      <w:pPr>
        <w:pStyle w:val="BodyTextIndent"/>
        <w:spacing w:lineRule="auto" w:line="276"/>
        <w:ind w:hanging="0"/>
        <w:jc w:val="both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Всего расходов по данному разделу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89 012 093,03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исполнено – 25 452 136,31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        </w:t>
      </w:r>
      <w:r>
        <w:rPr/>
        <w:t>исполнение составило  28,6 %</w:t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/>
        <w:t>Охрана окружающей среды</w:t>
      </w:r>
      <w:r>
        <w:rPr>
          <w:u w:val="none"/>
        </w:rPr>
        <w:t xml:space="preserve">    </w:t>
      </w:r>
    </w:p>
    <w:p>
      <w:pPr>
        <w:pStyle w:val="Heading2"/>
        <w:tabs>
          <w:tab w:val="clear" w:pos="708"/>
          <w:tab w:val="left" w:pos="5955" w:leader="none"/>
        </w:tabs>
        <w:spacing w:lineRule="auto" w:line="276"/>
        <w:ind w:hanging="0" w:left="0"/>
        <w:jc w:val="both"/>
        <w:rPr>
          <w:b w:val="false"/>
          <w:bCs w:val="false"/>
          <w:u w:val="none"/>
        </w:rPr>
      </w:pPr>
      <w:r>
        <w:rPr>
          <w:b w:val="false"/>
          <w:u w:val="none"/>
        </w:rPr>
        <w:t xml:space="preserve">        </w:t>
      </w:r>
      <w:r>
        <w:rPr>
          <w:b w:val="false"/>
          <w:u w:val="none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свалка, при плане —   6 567 392,08 руб., расходов  за первое полугодие 2025 год не производилось.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"/>
        <w:spacing w:lineRule="auto" w:line="276"/>
        <w:ind w:hanging="0"/>
        <w:jc w:val="both"/>
        <w:rPr>
          <w:b/>
          <w:u w:val="single"/>
        </w:rPr>
      </w:pPr>
      <w:r>
        <w:rPr>
          <w:b/>
          <w:u w:val="single"/>
        </w:rPr>
        <w:t>Образование</w:t>
      </w:r>
    </w:p>
    <w:p>
      <w:pPr>
        <w:pStyle w:val="BodyTextIndent"/>
        <w:spacing w:lineRule="auto" w:line="276"/>
        <w:jc w:val="both"/>
        <w:rPr>
          <w:u w:val="single"/>
        </w:rPr>
      </w:pPr>
      <w:r>
        <w:rPr/>
        <w:t> 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>В структуру отрасли входят: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1. Дошкольное образование: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236 219 611,59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112 560 567,36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47,7 %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2. Общее образование: 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Уточненный план – 506 603 979,48 руб.</w:t>
      </w:r>
    </w:p>
    <w:p>
      <w:pPr>
        <w:pStyle w:val="BodyTextIndent"/>
        <w:tabs>
          <w:tab w:val="clear" w:pos="708"/>
          <w:tab w:val="left" w:pos="5475" w:leader="none"/>
        </w:tabs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Исполнено – 303 310 546,50 руб.</w:t>
        <w:tab/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составило 59,9 %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3.  Дополнительное образование детей: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97 779 581,85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50 299 471,90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514 %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4.  Профессиональная подготовка, переподготовка и повышение квалификации: </w:t>
      </w:r>
    </w:p>
    <w:p>
      <w:pPr>
        <w:pStyle w:val="BodyTextIndent"/>
        <w:ind w:hanging="0"/>
        <w:jc w:val="both"/>
        <w:rPr/>
      </w:pPr>
      <w:r>
        <w:rPr/>
        <w:t xml:space="preserve">        </w:t>
      </w:r>
      <w:r>
        <w:rPr/>
        <w:t>Уточненный план – 23 000,00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 </w:t>
      </w:r>
      <w:r>
        <w:rPr/>
        <w:t>Исполнено – 1 090,41 руб.</w:t>
      </w:r>
    </w:p>
    <w:p>
      <w:pPr>
        <w:pStyle w:val="BodyTextIndent"/>
        <w:spacing w:lineRule="auto" w:line="276"/>
        <w:ind w:firstLine="284"/>
        <w:jc w:val="both"/>
        <w:rPr/>
      </w:pPr>
      <w:r>
        <w:rPr/>
        <w:t xml:space="preserve">    </w:t>
      </w:r>
      <w:r>
        <w:rPr/>
        <w:t>Исполнение по расходам  составило 4,7 %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5. Молодежная политика: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2 541 315,05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921 742,81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36,3 %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6. Другие вопросы в области образования (деятельность ОМС, опеки, централизованной бухгалтерии, РДДМ, летний отдых): </w:t>
      </w:r>
    </w:p>
    <w:p>
      <w:pPr>
        <w:pStyle w:val="BodyTextIndent"/>
        <w:ind w:hanging="0"/>
        <w:jc w:val="both"/>
        <w:rPr/>
      </w:pPr>
      <w:r>
        <w:rPr/>
        <w:t xml:space="preserve">      </w:t>
      </w:r>
      <w:r>
        <w:rPr/>
        <w:t>Уточненный план – 52 013 061,76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Исполнено – 24 120 790,48 руб.</w:t>
      </w:r>
    </w:p>
    <w:p>
      <w:pPr>
        <w:pStyle w:val="BodyTextIndent"/>
        <w:spacing w:lineRule="auto" w:line="276"/>
        <w:ind w:hanging="0"/>
        <w:jc w:val="both"/>
        <w:rPr/>
      </w:pPr>
      <w:r>
        <w:rPr/>
        <w:t xml:space="preserve">      </w:t>
      </w:r>
      <w:r>
        <w:rPr/>
        <w:t>Исполнение  46,4 %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 xml:space="preserve">Всего расходов по отрасли образования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 – 895 180 549,73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  491 214 209,46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                    </w:t>
      </w:r>
      <w:r>
        <w:rPr/>
        <w:t>исполнение составило 54,9 %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      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 xml:space="preserve">Культура,  кинематография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Культура: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178 345 583,16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87 895 572,78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49,3 %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Другие вопросы в области культуры, кинематографии (деятельность ОМС, ЦБТО):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67 288 500,00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32 822 396,66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48,8 %</w:t>
      </w:r>
    </w:p>
    <w:p>
      <w:pPr>
        <w:pStyle w:val="BodyTextIndent"/>
        <w:spacing w:lineRule="auto" w:line="276"/>
        <w:ind w:hanging="0" w:left="72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</w:t>
      </w:r>
      <w:r>
        <w:rPr/>
        <w:t xml:space="preserve">Всего расходов по отрасли культура проведено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при уточненном плане – 245 634 083,16 руб.</w:t>
      </w:r>
    </w:p>
    <w:p>
      <w:pPr>
        <w:pStyle w:val="BodyTextIndent"/>
        <w:tabs>
          <w:tab w:val="clear" w:pos="708"/>
          <w:tab w:val="left" w:pos="709" w:leader="none"/>
          <w:tab w:val="left" w:pos="851" w:leader="none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   </w:t>
      </w:r>
      <w:r>
        <w:rPr/>
        <w:t>факт – 120 717 969,44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     </w:t>
      </w:r>
      <w:r>
        <w:rPr/>
        <w:t>Исполнение составило – 49,1 %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>
          <w:b/>
          <w:u w:val="single"/>
        </w:rPr>
        <w:t>Социальная политика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jc w:val="both"/>
        <w:rPr/>
      </w:pPr>
      <w:r>
        <w:rPr/>
        <w:t>В структуру данной отрасли входят: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 </w:t>
      </w:r>
      <w:r>
        <w:rPr/>
        <w:t>1. Пенсионное обеспечение: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12 175 000,00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6 046 364,27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49,7 %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2. Социальное обслуживание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102 011 976,00 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48 746 019,03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47,8 %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</w:t>
      </w:r>
      <w:r>
        <w:rPr/>
        <w:t>3. Социальное обеспечение населения: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19 050 370,00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7 500 684,02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39,4 %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4. Охрана семьи и детства: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159 297 386,76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131 133 336,90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82,3 %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>5. Другие вопросы в области социальной политики (деятельность ОМС, система долговременного ухода за гражданами пожилого возраста):</w:t>
      </w:r>
    </w:p>
    <w:p>
      <w:pPr>
        <w:pStyle w:val="BodyTextIndent"/>
        <w:spacing w:lineRule="auto" w:line="276"/>
        <w:ind w:hanging="0" w:left="284"/>
        <w:rPr/>
      </w:pPr>
      <w:r>
        <w:rPr/>
        <w:t>Уточненный план –  24 521 700,00 руб.</w:t>
      </w:r>
    </w:p>
    <w:p>
      <w:pPr>
        <w:pStyle w:val="BodyTextIndent"/>
        <w:spacing w:lineRule="auto" w:line="276"/>
        <w:ind w:hanging="0" w:left="284"/>
        <w:rPr/>
      </w:pPr>
      <w:r>
        <w:rPr/>
        <w:t>Исполнено – 13 041 394,49 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</w:t>
      </w:r>
      <w:r>
        <w:rPr/>
        <w:t>Исполнение по расходам составило – 53,2 %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</w:t>
      </w:r>
      <w:r>
        <w:rPr/>
        <w:t xml:space="preserve">Всего по отрасли социальной политики проведено расходов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при  уточненном плане – 317 056 432,76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   </w:t>
      </w:r>
      <w:r>
        <w:rPr/>
        <w:t>исполнено – 206 467 798,71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</w:t>
      </w:r>
      <w:r>
        <w:rPr/>
        <w:t>Исполнение по расходам составило – 65,1 %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Организация и проведение спортивных мероприятий</w:t>
      </w:r>
      <w:r>
        <w:rPr/>
        <w:t xml:space="preserve">: 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/>
        <w:t xml:space="preserve">       </w:t>
      </w:r>
      <w:r>
        <w:rPr/>
        <w:t>Исполнение по данному разделу составило 18,3 %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637 500,00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116 570,00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>
          <w:b/>
          <w:u w:val="single"/>
        </w:rPr>
      </w:pPr>
      <w:r>
        <w:rPr>
          <w:b/>
          <w:u w:val="single"/>
        </w:rPr>
        <w:t>Средства массовой информации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ind w:hanging="0"/>
        <w:rPr/>
      </w:pPr>
      <w:r>
        <w:rPr>
          <w:u w:val="single"/>
        </w:rPr>
        <w:t>Редакция</w:t>
      </w:r>
      <w:r>
        <w:rPr/>
        <w:t>:  Исполнение по данному разделу составило 49,1 %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при уточненном плане – 1 935 500,00 руб.</w:t>
      </w:r>
    </w:p>
    <w:p>
      <w:pPr>
        <w:pStyle w:val="BodyTextIndent"/>
        <w:tabs>
          <w:tab w:val="clear" w:pos="708"/>
          <w:tab w:val="left" w:pos="368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  <w:t xml:space="preserve">                  </w:t>
      </w:r>
      <w:r>
        <w:rPr/>
        <w:t>исполнено –  950 661,22  руб.</w:t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tabs>
          <w:tab w:val="clear" w:pos="708"/>
          <w:tab w:val="left" w:pos="426" w:leader="none"/>
          <w:tab w:val="left" w:pos="4111" w:leader="none"/>
          <w:tab w:val="left" w:pos="4253" w:leader="none"/>
        </w:tabs>
        <w:spacing w:lineRule="auto" w:line="276"/>
        <w:ind w:hanging="0"/>
        <w:rPr/>
      </w:pPr>
      <w:r>
        <w:rPr/>
      </w:r>
    </w:p>
    <w:p>
      <w:pPr>
        <w:pStyle w:val="BodyTextIndent"/>
        <w:ind w:hanging="0"/>
        <w:jc w:val="center"/>
        <w:rPr>
          <w:b/>
        </w:rPr>
      </w:pPr>
      <w:r>
        <w:rPr>
          <w:b/>
        </w:rPr>
        <w:t>Информация об исполнении муниципальных программ</w:t>
      </w:r>
    </w:p>
    <w:p>
      <w:pPr>
        <w:pStyle w:val="Normal"/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  <w:r>
        <w:rPr>
          <w:bCs/>
          <w:sz w:val="28"/>
        </w:rPr>
        <w:t xml:space="preserve">В 2025 году действуют 18 муниципальных программ, для 16 из них определены объемы и источники финансирования. </w:t>
      </w:r>
    </w:p>
    <w:p>
      <w:pPr>
        <w:pStyle w:val="Normal"/>
        <w:jc w:val="both"/>
        <w:rPr>
          <w:b/>
          <w:bCs/>
          <w:sz w:val="28"/>
        </w:rPr>
      </w:pPr>
      <w:r>
        <w:rPr>
          <w:bCs/>
          <w:sz w:val="28"/>
        </w:rPr>
        <w:t>За  первое полугодие 2025 год исполнение по данным программам составило                1 044 013 662,21 руб. при плане 1 974 594 646,07 руб. или 52,9 %.</w:t>
      </w:r>
      <w:r>
        <w:rPr>
          <w:b/>
          <w:bCs/>
          <w:sz w:val="28"/>
        </w:rPr>
        <w:t xml:space="preserve">    </w:t>
      </w:r>
    </w:p>
    <w:p>
      <w:pPr>
        <w:pStyle w:val="Normal"/>
        <w:jc w:val="both"/>
        <w:rPr>
          <w:bCs/>
          <w:sz w:val="28"/>
          <w:u w:val="single"/>
        </w:rPr>
      </w:pPr>
      <w:r>
        <w:rPr>
          <w:b/>
          <w:bCs/>
          <w:sz w:val="28"/>
        </w:rPr>
        <w:t xml:space="preserve">      </w:t>
      </w:r>
      <w:r>
        <w:rPr>
          <w:bCs/>
          <w:sz w:val="28"/>
        </w:rPr>
        <w:t xml:space="preserve">Отчет о реализации муниципальных программ по видам прилагается.   </w:t>
      </w:r>
      <w:r>
        <w:rPr>
          <w:bCs/>
          <w:sz w:val="28"/>
          <w:u w:val="single"/>
        </w:rPr>
        <w:t xml:space="preserve">   </w:t>
      </w:r>
    </w:p>
    <w:p>
      <w:pPr>
        <w:pStyle w:val="BodyTextIndent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36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состоянии муниципального долга</w:t>
      </w:r>
    </w:p>
    <w:p>
      <w:pPr>
        <w:pStyle w:val="Normal"/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Муниципальный долг Тяжинского муниципального округа по состоянию на 01.07.2025 год отсутствует.</w:t>
      </w:r>
    </w:p>
    <w:p>
      <w:pPr>
        <w:pStyle w:val="Normal"/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hanging="0" w:left="0"/>
        <w:rPr>
          <w:color w:val="auto"/>
        </w:rPr>
      </w:pPr>
      <w:r>
        <w:rPr>
          <w:color w:val="auto"/>
        </w:rPr>
        <w:t>Зам. главы Тяжинского муниципального</w:t>
      </w:r>
    </w:p>
    <w:p>
      <w:pPr>
        <w:pStyle w:val="Heading1"/>
        <w:spacing w:before="0" w:after="0"/>
        <w:ind w:hanging="0" w:left="0"/>
        <w:rPr>
          <w:color w:val="auto"/>
        </w:rPr>
      </w:pPr>
      <w:r>
        <w:rPr>
          <w:color w:val="auto"/>
        </w:rPr>
        <w:t>округа по финансам  - начальник управления                               О.В. Батова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567" w:gutter="0" w:header="709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swiss"/>
    <w:pitch w:val="default"/>
  </w:font>
  <w:font w:name="Courier New">
    <w:charset w:val="01"/>
    <w:family w:val="auto"/>
    <w:pitch w:val="default"/>
  </w:font>
  <w:font w:name="PT Astra Serif">
    <w:charset w:val="01"/>
    <w:family w:val="roman"/>
    <w:pitch w:val="default"/>
  </w:font>
  <w:font w:name="Verdana"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keepLines/>
      <w:spacing w:before="480" w:after="0"/>
      <w:outlineLvl w:val="0"/>
    </w:pPr>
    <w:rPr>
      <w:rFonts w:ascii="Cambria" w:hAnsi="Cambria" w:eastAsia="Calibri" w:cs="Tahoma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2"/>
    <w:qFormat/>
    <w:pPr>
      <w:keepNext w:val="true"/>
      <w:widowControl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31"/>
    <w:qFormat/>
    <w:pPr>
      <w:keepNext w:val="true"/>
      <w:widowControl/>
      <w:tabs>
        <w:tab w:val="clear" w:pos="708"/>
        <w:tab w:val="left" w:pos="2850" w:leader="none"/>
      </w:tabs>
      <w:outlineLvl w:val="2"/>
    </w:pPr>
    <w:rPr>
      <w:sz w:val="28"/>
      <w:szCs w:val="24"/>
    </w:rPr>
  </w:style>
  <w:style w:type="paragraph" w:styleId="Heading4">
    <w:name w:val="heading 4"/>
    <w:basedOn w:val="Normal"/>
    <w:next w:val="Normal"/>
    <w:link w:val="4"/>
    <w:qFormat/>
    <w:pPr>
      <w:keepNext w:val="true"/>
      <w:widowControl/>
      <w:jc w:val="right"/>
      <w:outlineLvl w:val="3"/>
    </w:pPr>
    <w:rPr>
      <w:sz w:val="28"/>
      <w:szCs w:val="24"/>
    </w:rPr>
  </w:style>
  <w:style w:type="character" w:styleId="DefaultParagraphFont">
    <w:name w:val="Default Paragraph Font"/>
    <w:qFormat/>
    <w:rPr/>
  </w:style>
  <w:style w:type="character" w:styleId="2">
    <w:name w:val="Заголовок 2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character" w:styleId="Style10">
    <w:name w:val="Основной текст с отступом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1">
    <w:name w:val="Текст выноски Знак"/>
    <w:basedOn w:val="DefaultParagraphFont"/>
    <w:link w:val="BalloonTex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">
    <w:name w:val="Заголовок 1 Знак"/>
    <w:basedOn w:val="DefaultParagraphFont"/>
    <w:qFormat/>
    <w:rPr>
      <w:rFonts w:ascii="Cambria" w:hAnsi="Cambria" w:eastAsia="Calibri" w:cs="Tahoma"/>
      <w:b/>
      <w:bCs/>
      <w:color w:themeColor="accent1" w:themeShade="bf" w:val="365F91"/>
      <w:sz w:val="28"/>
      <w:szCs w:val="28"/>
      <w:lang w:eastAsia="ru-RU"/>
    </w:rPr>
  </w:style>
  <w:style w:type="character" w:styleId="Style12">
    <w:name w:val="Название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3">
    <w:name w:val="Основной текст с отступом 3 Знак"/>
    <w:basedOn w:val="DefaultParagraphFont"/>
    <w:link w:val="BodyTextIndent3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21">
    <w:name w:val="Основной текст с отступом 2 Знак"/>
    <w:basedOn w:val="DefaultParagraphFont"/>
    <w:link w:val="BodyTextIndent2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1">
    <w:name w:val="Заголовок 3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">
    <w:name w:val="Заголовок 4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2">
    <w:name w:val="Основной текст 2 Знак"/>
    <w:basedOn w:val="DefaultParagraphFont"/>
    <w:link w:val="BodyText2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rPr/>
  </w:style>
  <w:style w:type="character" w:styleId="Style16">
    <w:name w:val="Подзаголовок Знак"/>
    <w:basedOn w:val="DefaultParagraphFont"/>
    <w:qFormat/>
    <w:rPr>
      <w:rFonts w:ascii="Times New Roman" w:hAnsi="Times New Roman" w:eastAsia="Times New Roman" w:cs="Times New Roman"/>
      <w:sz w:val="28"/>
      <w:szCs w:val="24"/>
      <w:u w:val="single"/>
      <w:lang w:eastAsia="ru-RU"/>
    </w:rPr>
  </w:style>
  <w:style w:type="character" w:styleId="Hyperlink">
    <w:name w:val="Hyperlink"/>
    <w:rPr>
      <w:color w:val="0000FF"/>
      <w:u w:val="single"/>
    </w:rPr>
  </w:style>
  <w:style w:type="character" w:styleId="Style17">
    <w:name w:val="Текст Знак"/>
    <w:basedOn w:val="DefaultParagraphFont"/>
    <w:link w:val="PlainText"/>
    <w:qFormat/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5"/>
    <w:pPr>
      <w:widowControl/>
      <w:spacing w:before="0" w:after="120"/>
    </w:pPr>
    <w:rPr>
      <w:sz w:val="24"/>
      <w:szCs w:val="24"/>
    </w:rPr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odyTextIndent">
    <w:name w:val="Body Text Indent"/>
    <w:basedOn w:val="Normal"/>
    <w:link w:val="Style10"/>
    <w:pPr>
      <w:widowControl/>
      <w:ind w:firstLine="720"/>
    </w:pPr>
    <w:rPr>
      <w:sz w:val="28"/>
      <w:szCs w:val="24"/>
    </w:rPr>
  </w:style>
  <w:style w:type="paragraph" w:styleId="Style20">
    <w:name w:val="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alloonText">
    <w:name w:val="Balloon Text"/>
    <w:basedOn w:val="Normal"/>
    <w:link w:val="Style11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widowControl/>
      <w:spacing w:before="0" w:after="0"/>
      <w:ind w:left="720"/>
      <w:contextualSpacing/>
    </w:pPr>
    <w:rPr>
      <w:sz w:val="24"/>
      <w:szCs w:val="24"/>
    </w:rPr>
  </w:style>
  <w:style w:type="paragraph" w:styleId="Title">
    <w:name w:val="Title"/>
    <w:basedOn w:val="Normal"/>
    <w:link w:val="Style12"/>
    <w:qFormat/>
    <w:pPr>
      <w:widowControl/>
      <w:jc w:val="center"/>
    </w:pPr>
    <w:rPr>
      <w:b/>
      <w:bCs/>
      <w:sz w:val="28"/>
    </w:rPr>
  </w:style>
  <w:style w:type="paragraph" w:styleId="Style21">
    <w:name w:val="Знак Знак Знак Знак Знак Знак Знак"/>
    <w:basedOn w:val="Normal"/>
    <w:qFormat/>
    <w:pPr>
      <w:spacing w:lineRule="exact" w:line="240" w:before="0" w:after="160"/>
      <w:jc w:val="right"/>
    </w:pPr>
    <w:rPr>
      <w:lang w:val="en-GB" w:eastAsia="en-US"/>
    </w:rPr>
  </w:style>
  <w:style w:type="paragraph" w:styleId="BodyTextIndent3">
    <w:name w:val="Body Text Indent 3"/>
    <w:basedOn w:val="Normal"/>
    <w:link w:val="3"/>
    <w:qFormat/>
    <w:pPr>
      <w:widowControl/>
      <w:spacing w:before="0" w:after="120"/>
      <w:ind w:left="283"/>
    </w:pPr>
    <w:rPr>
      <w:sz w:val="16"/>
      <w:szCs w:val="16"/>
    </w:rPr>
  </w:style>
  <w:style w:type="paragraph" w:styleId="BodyTextIndent2">
    <w:name w:val="Body Text Indent 2"/>
    <w:basedOn w:val="Normal"/>
    <w:link w:val="21"/>
    <w:qFormat/>
    <w:pPr>
      <w:spacing w:lineRule="auto" w:line="480" w:before="0" w:after="120"/>
      <w:ind w:left="283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link w:val="22"/>
    <w:qFormat/>
    <w:pPr>
      <w:widowControl/>
      <w:spacing w:lineRule="auto" w:line="480" w:before="0" w:after="120"/>
    </w:pPr>
    <w:rPr>
      <w:sz w:val="24"/>
      <w:szCs w:val="24"/>
    </w:rPr>
  </w:style>
  <w:style w:type="paragraph" w:styleId="Subtitle">
    <w:name w:val="Subtitle"/>
    <w:basedOn w:val="Normal"/>
    <w:link w:val="Style16"/>
    <w:qFormat/>
    <w:pPr>
      <w:widowControl/>
      <w:jc w:val="center"/>
    </w:pPr>
    <w:rPr>
      <w:sz w:val="28"/>
      <w:szCs w:val="24"/>
      <w:u w:val="single"/>
    </w:rPr>
  </w:style>
  <w:style w:type="paragraph" w:styleId="PlainText">
    <w:name w:val="Plain Text"/>
    <w:basedOn w:val="Normal"/>
    <w:link w:val="Style17"/>
    <w:qFormat/>
    <w:pPr>
      <w:widowControl/>
    </w:pPr>
    <w:rPr>
      <w:rFonts w:ascii="Courier New" w:hAnsi="Courier New"/>
    </w:rPr>
  </w:style>
  <w:style w:type="paragraph" w:styleId="Style22">
    <w:name w:val="Знак Знак Знак Знак"/>
    <w:basedOn w:val="Normal"/>
    <w:qFormat/>
    <w:pPr>
      <w:widowControl/>
      <w:spacing w:lineRule="exact" w:line="240" w:before="0" w:after="160"/>
    </w:pPr>
    <w:rPr>
      <w:rFonts w:ascii="Verdana" w:hAnsi="Verdana"/>
      <w:lang w:val="en-US" w:eastAsia="en-US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numbering" w:styleId="Style24">
    <w:name w:val="Без списка"/>
    <w:qFormat/>
  </w:style>
  <w:style w:type="numbering" w:styleId="11">
    <w:name w:val="Нет списка1"/>
    <w:qFormat/>
  </w:style>
  <w:style w:type="numbering" w:styleId="23">
    <w:name w:val="Нет списка2"/>
    <w:qFormat/>
  </w:style>
  <w:style w:type="numbering" w:styleId="32">
    <w:name w:val="Нет списка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7038</TotalTime>
  <Application>LibreOffice/24.8.4.2$Linux_X86_64 LibreOffice_project/480$Build-2</Application>
  <AppVersion>15.0000</AppVersion>
  <Pages>7</Pages>
  <Words>1584</Words>
  <Characters>9105</Characters>
  <CharactersWithSpaces>11557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2019-04-23T04:33:00Z</dcterms:created>
  <dc:creator>Специалист 1. бюджетного отдела</dc:creator>
  <dc:description/>
  <dc:language>ru-RU</dc:language>
  <cp:lastModifiedBy/>
  <cp:lastPrinted>2025-07-02T15:16:35Z</cp:lastPrinted>
  <dcterms:modified xsi:type="dcterms:W3CDTF">2025-07-04T09:20:11Z</dcterms:modified>
  <cp:revision>274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