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widowControl/>
        <w:numPr>
          <w:ilvl w:val="0"/>
          <w:numId w:val="0"/>
        </w:numPr>
        <w:ind w:hanging="0" w:left="0"/>
        <w:jc w:val="center"/>
        <w:outlineLvl w:val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ПОЯСНИТЕЛЬНАЯ ЗАПИСКА</w:t>
      </w:r>
    </w:p>
    <w:p>
      <w:pPr>
        <w:pStyle w:val="Normal"/>
        <w:widowControl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к отчету  об исполнении бюджета </w:t>
      </w:r>
    </w:p>
    <w:p>
      <w:pPr>
        <w:pStyle w:val="Normal"/>
        <w:widowControl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Тяжинского муниципального округа</w:t>
      </w:r>
    </w:p>
    <w:p>
      <w:pPr>
        <w:pStyle w:val="Normal"/>
        <w:widowControl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за первый квартал 2025 года</w:t>
      </w:r>
    </w:p>
    <w:p>
      <w:pPr>
        <w:pStyle w:val="Normal"/>
        <w:widowControl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keepNext w:val="true"/>
        <w:widowControl/>
        <w:numPr>
          <w:ilvl w:val="0"/>
          <w:numId w:val="0"/>
        </w:numPr>
        <w:ind w:hanging="0" w:left="36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Исполнение бюджета Тяжинского муниципального округа по доходам</w:t>
      </w:r>
    </w:p>
    <w:p>
      <w:pPr>
        <w:pStyle w:val="Normal"/>
        <w:widowControl/>
        <w:rPr>
          <w:sz w:val="24"/>
          <w:szCs w:val="24"/>
          <w:shd w:fill="FFFF00" w:val="clear"/>
        </w:rPr>
      </w:pPr>
      <w:r>
        <w:rPr>
          <w:sz w:val="24"/>
          <w:szCs w:val="24"/>
          <w:shd w:fill="FFFF00" w:val="clear"/>
        </w:rPr>
      </w:r>
    </w:p>
    <w:p>
      <w:pPr>
        <w:pStyle w:val="BodyTextIndent2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  <w:shd w:fill="FFFF00" w:val="clear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За 1 квартал 2025 года в бюджет Тяжинского муниципального округа поступление доходов составило  452 685 757,08 руб.,  что составило 25,7 % к годовому плану.  </w:t>
      </w:r>
    </w:p>
    <w:p>
      <w:pPr>
        <w:pStyle w:val="Normal"/>
        <w:widowControl/>
        <w:tabs>
          <w:tab w:val="clear" w:pos="708"/>
          <w:tab w:val="left" w:pos="0" w:leader="none"/>
          <w:tab w:val="left" w:pos="540" w:leader="none"/>
        </w:tabs>
        <w:spacing w:before="0" w:after="120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По налоговым и неналоговым доходам  при плане – 316 747 633,84 руб.  поступило 69 302 612,18 руб., исполнение составило  21,9%  к годовому плану.  </w:t>
      </w:r>
    </w:p>
    <w:p>
      <w:pPr>
        <w:pStyle w:val="Normal"/>
        <w:widowControl/>
        <w:spacing w:before="0" w:after="120"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Поступление в местный бюджет обеспечено, в основном, за счет: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налога на доходы физических лиц (38 145 196,66 руб. или 55,0% от суммы налоговых и неналоговых доходов); 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sz w:val="28"/>
          <w:szCs w:val="28"/>
        </w:rPr>
      </w:pPr>
      <w:r>
        <w:rPr>
          <w:sz w:val="28"/>
          <w:szCs w:val="28"/>
        </w:rPr>
        <w:t>-  акцизов на нефтепродукты (6 672 369,56 руб. или 9,6%);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sz w:val="28"/>
          <w:szCs w:val="28"/>
        </w:rPr>
      </w:pPr>
      <w:r>
        <w:rPr>
          <w:sz w:val="28"/>
          <w:szCs w:val="28"/>
        </w:rPr>
        <w:t>- доходов от использования имущества, находящегося в государственной и муниципальной собственности (6 207 666,5 руб. или 9%);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sz w:val="28"/>
          <w:szCs w:val="28"/>
        </w:rPr>
      </w:pPr>
      <w:r>
        <w:rPr>
          <w:sz w:val="28"/>
          <w:szCs w:val="28"/>
        </w:rPr>
        <w:t>-  единого сельскохозяйственного налога (5 303 568,11 руб. или 7,7%);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sz w:val="28"/>
          <w:szCs w:val="28"/>
        </w:rPr>
      </w:pPr>
      <w:r>
        <w:rPr>
          <w:sz w:val="28"/>
          <w:szCs w:val="28"/>
        </w:rPr>
        <w:t>- налога, взимаемого в связи с применением упрощенной системы налогообложения (4 233 299,51 руб. или 6,1%);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sz w:val="28"/>
          <w:szCs w:val="28"/>
        </w:rPr>
      </w:pPr>
      <w:r>
        <w:rPr>
          <w:sz w:val="28"/>
          <w:szCs w:val="28"/>
        </w:rPr>
        <w:t>-  земельного налога (3 503 345,02 руб. или 5,1%);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sz w:val="28"/>
          <w:szCs w:val="28"/>
        </w:rPr>
      </w:pPr>
      <w:r>
        <w:rPr>
          <w:sz w:val="28"/>
          <w:szCs w:val="28"/>
        </w:rPr>
        <w:t>-  государственной пошлины (2 627 970,97 руб. или 3,8%);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sz w:val="28"/>
          <w:szCs w:val="28"/>
        </w:rPr>
      </w:pPr>
      <w:r>
        <w:rPr>
          <w:sz w:val="28"/>
          <w:szCs w:val="28"/>
        </w:rPr>
        <w:t>- налога, взимаемого в связи с применением патентной системы налогообложения (1 341 960,57  руб. или 1,9%)</w:t>
      </w:r>
    </w:p>
    <w:p>
      <w:pPr>
        <w:pStyle w:val="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квартал 2025 года в сравнении с тем же периодом 2024 года налоговых и неналоговых доходов поступило </w:t>
      </w:r>
      <w:r>
        <w:rPr>
          <w:bCs/>
          <w:sz w:val="28"/>
          <w:szCs w:val="28"/>
        </w:rPr>
        <w:t>на 19 278 863,02 руб.</w:t>
      </w:r>
      <w:r>
        <w:rPr>
          <w:sz w:val="28"/>
          <w:szCs w:val="28"/>
        </w:rPr>
        <w:t xml:space="preserve"> больше.</w:t>
      </w:r>
    </w:p>
    <w:p>
      <w:pPr>
        <w:pStyle w:val="Normal"/>
        <w:widowControl/>
        <w:tabs>
          <w:tab w:val="clear" w:pos="708"/>
          <w:tab w:val="left" w:pos="1260" w:leader="none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сложилось в основном по следующим видам налогов и платежей:</w:t>
      </w:r>
    </w:p>
    <w:p>
      <w:pPr>
        <w:pStyle w:val="ListParagraph"/>
        <w:tabs>
          <w:tab w:val="clear" w:pos="708"/>
          <w:tab w:val="left" w:pos="0" w:leader="none"/>
          <w:tab w:val="left" w:pos="567" w:leader="none"/>
        </w:tabs>
        <w:ind w:firstLine="567"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shd w:fill="auto" w:val="clear"/>
        </w:rPr>
        <w:t xml:space="preserve"> по налогу на доходы физических лиц на 9 527 478,71 </w:t>
      </w:r>
      <w:r>
        <w:rPr>
          <w:bCs/>
          <w:sz w:val="28"/>
          <w:szCs w:val="28"/>
          <w:shd w:fill="auto" w:val="clear"/>
        </w:rPr>
        <w:t xml:space="preserve">руб., </w:t>
      </w:r>
      <w:r>
        <w:rPr>
          <w:bCs/>
          <w:sz w:val="28"/>
          <w:szCs w:val="28"/>
        </w:rPr>
        <w:t>в связи с ростом оплаты труда, увеличением дополнительного норматива отчислений от НДФЛ с 36,39% в 2024 году до 37,12% в 2025 году, а также в связи с поступлением в 2025 году НДФЛ за декабрь 2024 года;</w:t>
      </w:r>
    </w:p>
    <w:p>
      <w:pPr>
        <w:pStyle w:val="Normal"/>
        <w:widowControl/>
        <w:tabs>
          <w:tab w:val="clear" w:pos="708"/>
          <w:tab w:val="left" w:pos="1260" w:leader="none"/>
        </w:tabs>
        <w:ind w:firstLine="567"/>
        <w:jc w:val="both"/>
        <w:rPr>
          <w:shd w:fill="auto" w:val="clear"/>
        </w:rPr>
      </w:pPr>
      <w:r>
        <w:rPr>
          <w:bCs/>
          <w:iCs/>
          <w:sz w:val="28"/>
          <w:szCs w:val="28"/>
          <w:shd w:fill="auto" w:val="clear"/>
          <w:lang w:eastAsia="x-none"/>
        </w:rPr>
        <w:t xml:space="preserve">- по единому сельскохозяйственному налогу на 4 659 566,41 руб., в связи с увеличением прибыли за 2024 год по ИП Рапана Т.Е.   </w:t>
      </w:r>
    </w:p>
    <w:p>
      <w:pPr>
        <w:pStyle w:val="Normal"/>
        <w:widowControl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iCs/>
          <w:color w:themeColor="dark1" w:val="000000"/>
          <w:sz w:val="28"/>
          <w:szCs w:val="28"/>
          <w:shd w:fill="auto" w:val="clear"/>
          <w:lang w:eastAsia="x-none"/>
        </w:rPr>
        <w:t xml:space="preserve">     </w:t>
      </w:r>
      <w:r>
        <w:rPr>
          <w:iCs/>
          <w:color w:themeColor="dark1" w:val="000000"/>
          <w:sz w:val="28"/>
          <w:szCs w:val="28"/>
          <w:shd w:fill="auto" w:val="clear"/>
          <w:lang w:eastAsia="x-none"/>
        </w:rPr>
        <w:t>- по доходам от использования имущества, находящегося в государственной и муниципальной собственности на 2 304 670,78 руб., в основном за счет заключения во 2 квартале 2024 года новых договоров аренды земельных участков на земли сельхоз. назначения и земли производственного назначения;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iCs/>
          <w:sz w:val="28"/>
          <w:szCs w:val="28"/>
          <w:lang w:eastAsia="x-none"/>
        </w:rPr>
      </w:pPr>
      <w:r>
        <w:rPr>
          <w:iCs/>
          <w:sz w:val="28"/>
          <w:szCs w:val="28"/>
          <w:shd w:fill="auto" w:val="clear"/>
          <w:lang w:eastAsia="x-none"/>
        </w:rPr>
        <w:t>- по государственной пошлине на 2 012 860,39 руб., в связи с повышением ставок с сентября 2024 года;</w:t>
      </w:r>
    </w:p>
    <w:p>
      <w:pPr>
        <w:pStyle w:val="Normal"/>
        <w:widowControl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iCs/>
          <w:sz w:val="28"/>
          <w:szCs w:val="28"/>
          <w:shd w:fill="auto" w:val="clear"/>
          <w:lang w:eastAsia="x-none"/>
        </w:rPr>
        <w:t xml:space="preserve">  </w:t>
      </w:r>
      <w:r>
        <w:rPr>
          <w:iCs/>
          <w:sz w:val="28"/>
          <w:szCs w:val="28"/>
          <w:shd w:fill="auto" w:val="clear"/>
          <w:lang w:eastAsia="x-none"/>
        </w:rPr>
        <w:t>- по налогу, взимаемому в связи с применением упрощенной системы налогообложения на 1 857 149,52 руб. в связи с увеличением дифференцированного норматива отчислений в бюджет округа с 57,45% в 2024 году до 70% в 2025 году;</w:t>
      </w:r>
    </w:p>
    <w:p>
      <w:pPr>
        <w:pStyle w:val="Normal"/>
        <w:widowControl/>
        <w:tabs>
          <w:tab w:val="clear" w:pos="708"/>
          <w:tab w:val="left" w:pos="0" w:leader="none"/>
        </w:tabs>
        <w:ind w:firstLine="567"/>
        <w:jc w:val="both"/>
        <w:rPr>
          <w:color w:themeColor="dark1" w:val="000000"/>
          <w:sz w:val="28"/>
          <w:szCs w:val="28"/>
        </w:rPr>
      </w:pPr>
      <w:r>
        <w:rPr>
          <w:iCs/>
          <w:color w:themeColor="dark1" w:val="000000"/>
          <w:sz w:val="28"/>
          <w:szCs w:val="28"/>
          <w:shd w:fill="auto" w:val="clear"/>
          <w:lang w:eastAsia="x-none"/>
        </w:rPr>
        <w:t>- по акцизам на нефтепродукты на 568 935,25 руб.</w:t>
      </w:r>
      <w:r>
        <w:rPr>
          <w:iCs/>
          <w:sz w:val="28"/>
          <w:szCs w:val="28"/>
          <w:shd w:fill="auto" w:val="clear"/>
          <w:lang w:eastAsia="x-none"/>
        </w:rPr>
        <w:t xml:space="preserve"> в связи с повышением ставок на акцизы с 01.01.2025г</w:t>
      </w:r>
      <w:r>
        <w:rPr>
          <w:iCs/>
          <w:color w:themeColor="dark1" w:val="000000"/>
          <w:sz w:val="28"/>
          <w:szCs w:val="28"/>
          <w:shd w:fill="auto" w:val="clear"/>
          <w:lang w:eastAsia="x-none"/>
        </w:rPr>
        <w:t>;</w:t>
      </w:r>
    </w:p>
    <w:p>
      <w:pPr>
        <w:pStyle w:val="Normal"/>
        <w:widowControl/>
        <w:tabs>
          <w:tab w:val="clear" w:pos="708"/>
          <w:tab w:val="left" w:pos="1260" w:leader="none"/>
        </w:tabs>
        <w:ind w:firstLine="540"/>
        <w:jc w:val="both"/>
        <w:rPr>
          <w:sz w:val="28"/>
          <w:szCs w:val="28"/>
        </w:rPr>
      </w:pPr>
      <w:r>
        <w:rPr>
          <w:iCs/>
          <w:sz w:val="28"/>
          <w:szCs w:val="28"/>
          <w:shd w:fill="auto" w:val="clear"/>
          <w:lang w:eastAsia="x-none"/>
        </w:rPr>
        <w:t>- по доходам от оказания платных услуг и компенсации затрат государства на 417 515,35 руб., в связи с поступлением в марте 2025 года возврата дебиторской задолженности прошлых лет в сумме 482 399,84 руб.;</w:t>
      </w:r>
    </w:p>
    <w:p>
      <w:pPr>
        <w:pStyle w:val="Normal"/>
        <w:widowControl/>
        <w:tabs>
          <w:tab w:val="clear" w:pos="708"/>
          <w:tab w:val="left" w:pos="1260" w:leader="none"/>
        </w:tabs>
        <w:ind w:firstLine="567"/>
        <w:jc w:val="both"/>
        <w:rPr>
          <w:shd w:fill="auto" w:val="clear"/>
        </w:rPr>
      </w:pPr>
      <w:r>
        <w:rPr>
          <w:iCs/>
          <w:sz w:val="28"/>
          <w:szCs w:val="28"/>
          <w:shd w:fill="auto" w:val="clear"/>
          <w:lang w:eastAsia="x-none"/>
        </w:rPr>
        <w:t xml:space="preserve">   </w:t>
      </w:r>
    </w:p>
    <w:p>
      <w:pPr>
        <w:pStyle w:val="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в основном сложилось по следующим видам налогов и платежей:</w:t>
      </w:r>
    </w:p>
    <w:p>
      <w:pPr>
        <w:pStyle w:val="Normal"/>
        <w:widowControl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shd w:fill="auto" w:val="clear"/>
        </w:rPr>
        <w:t xml:space="preserve">по налогу, взимаемому в связи с применением патентной системы налогообложения на 1 050 068,41 руб., </w:t>
      </w:r>
      <w:r>
        <w:rPr>
          <w:color w:val="000000"/>
          <w:sz w:val="28"/>
          <w:szCs w:val="28"/>
        </w:rPr>
        <w:t>в связи с произведенными списаниями данного налога в первом квартале 2025 года;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color w:val="000000"/>
        </w:rPr>
      </w:pPr>
      <w:r>
        <w:rPr>
          <w:iCs/>
          <w:color w:val="000000"/>
          <w:sz w:val="28"/>
          <w:szCs w:val="28"/>
          <w:lang w:eastAsia="x-none"/>
        </w:rPr>
        <w:t xml:space="preserve">- </w:t>
      </w:r>
      <w:r>
        <w:rPr>
          <w:iCs/>
          <w:color w:val="000000"/>
          <w:sz w:val="28"/>
          <w:szCs w:val="28"/>
          <w:shd w:fill="auto" w:val="clear"/>
          <w:lang w:eastAsia="x-none"/>
        </w:rPr>
        <w:t>по земельному налогу на 679 235,17 руб.,</w:t>
      </w:r>
      <w:r>
        <w:rPr>
          <w:iCs/>
          <w:color w:val="000000"/>
          <w:sz w:val="28"/>
          <w:szCs w:val="28"/>
          <w:lang w:eastAsia="x-none"/>
        </w:rPr>
        <w:t xml:space="preserve"> в связи с оплатой задолженности в 2024 году ООО «Аккорд» и снижением налогооблагаемой базы ГПОУ «Тяжинский агропромышленный техникум»;</w:t>
      </w:r>
    </w:p>
    <w:p>
      <w:pPr>
        <w:pStyle w:val="Normal"/>
        <w:widowControl/>
        <w:tabs>
          <w:tab w:val="clear" w:pos="708"/>
          <w:tab w:val="left" w:pos="0" w:leader="none"/>
        </w:tabs>
        <w:ind w:firstLine="567"/>
        <w:jc w:val="both"/>
        <w:rPr>
          <w:color w:val="000000"/>
        </w:rPr>
      </w:pPr>
      <w:r>
        <w:rPr>
          <w:iCs/>
          <w:color w:val="000000"/>
          <w:sz w:val="28"/>
          <w:szCs w:val="28"/>
          <w:lang w:eastAsia="x-none"/>
        </w:rPr>
        <w:t xml:space="preserve">- </w:t>
      </w:r>
      <w:r>
        <w:rPr>
          <w:iCs/>
          <w:color w:val="000000"/>
          <w:sz w:val="28"/>
          <w:szCs w:val="28"/>
          <w:shd w:fill="auto" w:val="clear"/>
          <w:lang w:eastAsia="x-none"/>
        </w:rPr>
        <w:t xml:space="preserve">по доходам от продажи материальных и нематериальных активов на 177 668,6 </w:t>
      </w:r>
      <w:r>
        <w:rPr>
          <w:iCs/>
          <w:color w:val="000000"/>
          <w:sz w:val="28"/>
          <w:szCs w:val="28"/>
          <w:lang w:eastAsia="x-none"/>
        </w:rPr>
        <w:t xml:space="preserve"> руб., по факту состоявшихся сделок;</w:t>
      </w:r>
    </w:p>
    <w:p>
      <w:pPr>
        <w:pStyle w:val="Normal"/>
        <w:widowControl/>
        <w:tabs>
          <w:tab w:val="clear" w:pos="708"/>
          <w:tab w:val="left" w:pos="0" w:leader="none"/>
        </w:tabs>
        <w:ind w:firstLine="567"/>
        <w:jc w:val="both"/>
        <w:rPr>
          <w:color w:val="000000"/>
        </w:rPr>
      </w:pPr>
      <w:r>
        <w:rPr>
          <w:iCs/>
          <w:color w:val="000000"/>
          <w:sz w:val="28"/>
          <w:szCs w:val="28"/>
          <w:lang w:eastAsia="x-none"/>
        </w:rPr>
        <w:t xml:space="preserve">- </w:t>
      </w:r>
      <w:r>
        <w:rPr>
          <w:iCs/>
          <w:color w:val="000000"/>
          <w:sz w:val="28"/>
          <w:szCs w:val="28"/>
          <w:shd w:fill="auto" w:val="clear"/>
          <w:lang w:eastAsia="x-none"/>
        </w:rPr>
        <w:t>по плате за негативное воздействие на окружающую среду на 93 117,02</w:t>
      </w:r>
      <w:r>
        <w:rPr>
          <w:iCs/>
          <w:color w:val="000000"/>
          <w:sz w:val="28"/>
          <w:szCs w:val="28"/>
          <w:lang w:eastAsia="x-none"/>
        </w:rPr>
        <w:t xml:space="preserve"> руб., в основном за счет погашения в 1 квартале 2024 года задолженности  МКП «Комфорт;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color w:val="000000"/>
        </w:rPr>
      </w:pPr>
      <w:r>
        <w:rPr>
          <w:iCs/>
          <w:color w:val="000000"/>
          <w:sz w:val="28"/>
          <w:szCs w:val="28"/>
          <w:lang w:eastAsia="x-none"/>
        </w:rPr>
        <w:t xml:space="preserve">- </w:t>
      </w:r>
      <w:r>
        <w:rPr>
          <w:iCs/>
          <w:color w:val="000000"/>
          <w:sz w:val="28"/>
          <w:szCs w:val="28"/>
          <w:shd w:fill="auto" w:val="clear"/>
          <w:lang w:eastAsia="x-none"/>
        </w:rPr>
        <w:t>по штрафам, санкциям, возмещению ущерба на 92 223,47 руб.,</w:t>
      </w:r>
      <w:r>
        <w:rPr>
          <w:iCs/>
          <w:color w:val="000000"/>
          <w:sz w:val="28"/>
          <w:szCs w:val="28"/>
          <w:lang w:eastAsia="x-none"/>
        </w:rPr>
        <w:t xml:space="preserve"> в основном в связи с поступлением в 1 квартале 2024 года неустойки за ненадлежащее исполнение обязательств по контракту на сумму 96 906,2 руб.</w:t>
      </w:r>
    </w:p>
    <w:p>
      <w:pPr>
        <w:pStyle w:val="Normal"/>
        <w:widowControl/>
        <w:tabs>
          <w:tab w:val="clear" w:pos="708"/>
          <w:tab w:val="left" w:pos="1260" w:leader="none"/>
        </w:tabs>
        <w:ind w:firstLine="567"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 xml:space="preserve">    </w:t>
      </w:r>
    </w:p>
    <w:p>
      <w:pPr>
        <w:pStyle w:val="Normal"/>
        <w:widowControl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 xml:space="preserve">     </w:t>
      </w:r>
    </w:p>
    <w:p>
      <w:pPr>
        <w:pStyle w:val="BodyTextIndent"/>
        <w:spacing w:lineRule="auto" w:line="276"/>
        <w:ind w:hanging="0"/>
        <w:jc w:val="center"/>
        <w:rPr>
          <w:b/>
        </w:rPr>
      </w:pPr>
      <w:r>
        <w:rPr>
          <w:b/>
        </w:rPr>
        <w:t>Исполнение бюджета округа  по расходам</w:t>
      </w:r>
    </w:p>
    <w:p>
      <w:pPr>
        <w:pStyle w:val="BodyTextIndent"/>
        <w:spacing w:lineRule="auto" w:line="276"/>
        <w:jc w:val="both"/>
        <w:rPr/>
      </w:pPr>
      <w:r>
        <w:rPr/>
        <w:t>Бюджет Тяжинского муниципального округа  за  первый квартал 2025 года исполнен на 25,8 % от уточненного плана  (уточненный план по расходам                  1 773 513 876,80 руб., факт  456 910 634,95 руб.).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>По отраслевому признаку исполнения расходов местного бюджета проведено:</w:t>
      </w:r>
    </w:p>
    <w:p>
      <w:pPr>
        <w:pStyle w:val="BodyTextIndent"/>
        <w:spacing w:lineRule="auto" w:line="276"/>
        <w:ind w:hanging="0"/>
        <w:jc w:val="right"/>
        <w:rPr/>
      </w:pPr>
      <w:r>
        <w:rPr/>
        <w:t>(руб).</w:t>
      </w:r>
    </w:p>
    <w:tbl>
      <w:tblPr>
        <w:tblW w:w="9945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550"/>
        <w:gridCol w:w="1984"/>
        <w:gridCol w:w="1985"/>
        <w:gridCol w:w="1473"/>
      </w:tblGrid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отраслей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Уточненный план на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Исполнено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</w:p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исполнения</w:t>
            </w:r>
          </w:p>
        </w:tc>
      </w:tr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157 885 483,00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38 848 530,76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24,6</w:t>
            </w:r>
          </w:p>
        </w:tc>
      </w:tr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2 032 300,00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354 889,54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17,5</w:t>
            </w:r>
          </w:p>
        </w:tc>
      </w:tr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66 992 380,40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3 568 747,30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5,3</w:t>
            </w:r>
          </w:p>
        </w:tc>
      </w:tr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188 176 347,02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47 365 874,48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25,2</w:t>
            </w:r>
          </w:p>
        </w:tc>
      </w:tr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78 840 204,48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11 629 489,01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14,8</w:t>
            </w:r>
          </w:p>
        </w:tc>
      </w:tr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236 000,00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805 669 846,13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237 978 869,00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29,5</w:t>
            </w:r>
          </w:p>
        </w:tc>
      </w:tr>
      <w:tr>
        <w:trPr>
          <w:trHeight w:val="232" w:hRule="atLeast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226 035 094,01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72 315 411,08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245 543 721,76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44 337 417,67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18,1</w:t>
            </w:r>
          </w:p>
        </w:tc>
      </w:tr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387 500,00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15 710,00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4,1</w:t>
            </w:r>
          </w:p>
        </w:tc>
      </w:tr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1 715 000,00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495 696,11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28,9</w:t>
            </w:r>
          </w:p>
        </w:tc>
      </w:tr>
      <w:tr>
        <w:trPr/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 РАСХОДОВ: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1 773 513 876,80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456 910 634,95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25,8</w:t>
            </w:r>
          </w:p>
        </w:tc>
      </w:tr>
    </w:tbl>
    <w:p>
      <w:pPr>
        <w:pStyle w:val="BodyTextIndent"/>
        <w:spacing w:lineRule="auto" w:line="276"/>
        <w:ind w:firstLine="567"/>
        <w:rPr/>
      </w:pPr>
      <w:r>
        <w:rPr/>
      </w:r>
    </w:p>
    <w:p>
      <w:pPr>
        <w:pStyle w:val="BodyTextIndent"/>
        <w:spacing w:lineRule="auto" w:line="276"/>
        <w:ind w:firstLine="567"/>
        <w:rPr>
          <w:b/>
          <w:u w:val="single"/>
        </w:rPr>
      </w:pPr>
      <w:r>
        <w:rPr>
          <w:b/>
        </w:rPr>
        <w:t>  </w:t>
      </w:r>
      <w:r>
        <w:rPr>
          <w:b/>
          <w:u w:val="single"/>
        </w:rPr>
        <w:t>Общегосударственные вопросы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</w:t>
      </w:r>
      <w:r>
        <w:rPr/>
        <w:t>Исполнение по данному разделу составило 38 848 530,76</w:t>
      </w:r>
      <w:r>
        <w:rPr>
          <w:szCs w:val="28"/>
        </w:rPr>
        <w:t xml:space="preserve"> руб. при плане 157 885 483,00  руб. или 24,6%.    </w:t>
      </w:r>
      <w:r>
        <w:rPr/>
        <w:t xml:space="preserve">       </w:t>
      </w:r>
    </w:p>
    <w:p>
      <w:pPr>
        <w:pStyle w:val="BodyTextIndent"/>
        <w:jc w:val="both"/>
        <w:rPr/>
      </w:pPr>
      <w:r>
        <w:rPr/>
        <w:t xml:space="preserve">По данному разделу отражаются расходы на функционирование высшего должностного лица – главы муниципального округа, Совета народных депутатов ТМО, Контрольно-счетной палаты ТМО, органов местного самоуправления, прочие общегосударственные вопросы, не включенные в другие разделы.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Национальная оборона</w:t>
      </w:r>
      <w:r>
        <w:rPr>
          <w:u w:val="none"/>
        </w:rPr>
        <w:t xml:space="preserve">    </w:t>
      </w:r>
      <w:r>
        <w:rPr>
          <w:b w:val="false"/>
          <w:bCs w:val="false"/>
          <w:u w:val="none"/>
        </w:rPr>
        <w:t>исполнение – 17,5 %</w:t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(уточненный план  2 032 300,00 руб., исполнено 354 889,54 руб.)</w:t>
        <w:tab/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Расходы произведены за счет субвенции на осуществление первичного воинского учета органами местного самоуправления поселений, муниципальных и городских округов.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Национальная безопасность и правоохранительная деятельность</w:t>
      </w:r>
      <w:r>
        <w:rPr>
          <w:u w:val="none"/>
        </w:rPr>
        <w:t xml:space="preserve">  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отражаются расходы:</w:t>
      </w:r>
    </w:p>
    <w:p>
      <w:pPr>
        <w:pStyle w:val="BodyTextIndent"/>
        <w:spacing w:lineRule="auto" w:line="276"/>
        <w:ind w:hanging="0"/>
        <w:rPr/>
      </w:pPr>
      <w:r>
        <w:rPr/>
        <w:t xml:space="preserve"> </w:t>
      </w:r>
      <w:r>
        <w:rPr/>
        <w:t>1. Гражданская оборона:</w:t>
      </w:r>
    </w:p>
    <w:p>
      <w:pPr>
        <w:pStyle w:val="BodyTextIndent"/>
        <w:spacing w:lineRule="auto" w:line="276"/>
        <w:ind w:hanging="0" w:left="720"/>
        <w:rPr/>
      </w:pPr>
      <w:r>
        <w:rPr/>
        <w:t>План – 100 000,00  руб.</w:t>
      </w:r>
    </w:p>
    <w:p>
      <w:pPr>
        <w:pStyle w:val="BodyTextIndent"/>
        <w:spacing w:lineRule="auto" w:line="276"/>
        <w:rPr/>
      </w:pPr>
      <w:r>
        <w:rPr/>
        <w:t>Факт -  0,00 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</w:t>
      </w:r>
      <w:r>
        <w:rPr/>
        <w:t>Исполнение – 0 %</w:t>
      </w:r>
    </w:p>
    <w:p>
      <w:pPr>
        <w:pStyle w:val="BodyTextIndent"/>
        <w:spacing w:lineRule="auto" w:line="276"/>
        <w:ind w:hanging="0"/>
        <w:rPr/>
      </w:pPr>
      <w:r>
        <w:rPr/>
        <w:t>2.  Защита населения и территории от чрезвычайных ситуаций природного и техногенного характера, пожарная безопасность:</w:t>
      </w:r>
    </w:p>
    <w:p>
      <w:pPr>
        <w:pStyle w:val="BodyTextIndent"/>
        <w:spacing w:lineRule="auto" w:line="276"/>
        <w:ind w:hanging="0" w:left="644"/>
        <w:rPr/>
      </w:pPr>
      <w:r>
        <w:rPr/>
        <w:t xml:space="preserve">  </w:t>
      </w:r>
      <w:r>
        <w:rPr/>
        <w:t>План – 31 613 296,40 руб.</w:t>
      </w:r>
    </w:p>
    <w:p>
      <w:pPr>
        <w:pStyle w:val="BodyTextIndent"/>
        <w:spacing w:lineRule="auto" w:line="276"/>
        <w:rPr/>
      </w:pPr>
      <w:r>
        <w:rPr/>
        <w:t xml:space="preserve"> </w:t>
      </w:r>
      <w:r>
        <w:rPr/>
        <w:t>Факт — 102 558,33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</w:t>
      </w:r>
      <w:r>
        <w:rPr/>
        <w:t>Исполнение – 0,3 %</w:t>
      </w:r>
    </w:p>
    <w:p>
      <w:pPr>
        <w:pStyle w:val="BodyTextIndent"/>
        <w:spacing w:lineRule="auto" w:line="276"/>
        <w:ind w:hanging="0"/>
        <w:rPr/>
      </w:pPr>
      <w:r>
        <w:rPr/>
        <w:t>3.  Другие вопросы в области национальной безопасности и правоохранительной деятельности (мероприятия по пожарной безопасности,  антитеррористической защищенности, безопасности дорожного движения, ЕДДС):</w:t>
      </w:r>
    </w:p>
    <w:p>
      <w:pPr>
        <w:pStyle w:val="BodyTextIndent"/>
        <w:spacing w:lineRule="auto" w:line="276"/>
        <w:ind w:hanging="0" w:left="644"/>
        <w:rPr/>
      </w:pPr>
      <w:r>
        <w:rPr/>
        <w:t xml:space="preserve">  </w:t>
      </w:r>
      <w:r>
        <w:rPr/>
        <w:t>План – 35 279 084,00  руб.</w:t>
      </w:r>
    </w:p>
    <w:p>
      <w:pPr>
        <w:pStyle w:val="BodyTextIndent"/>
        <w:spacing w:lineRule="auto" w:line="276"/>
        <w:rPr/>
      </w:pPr>
      <w:r>
        <w:rPr/>
        <w:t xml:space="preserve"> </w:t>
      </w:r>
      <w:r>
        <w:rPr/>
        <w:t>Факт -  3 466 188,97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</w:t>
      </w:r>
      <w:r>
        <w:rPr/>
        <w:t>Исполнение –  9,8 %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</w:t>
      </w:r>
      <w:r>
        <w:rPr/>
        <w:t xml:space="preserve">Всего расходов по данному разделу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66 992 380,40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исполнено – 3 568 747,30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</w:t>
      </w:r>
      <w:r>
        <w:rPr/>
        <w:t>исполнение составило 5,3 %</w:t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/>
      </w:pPr>
      <w:r>
        <w:rPr/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Национальная экономика</w:t>
      </w:r>
      <w:r>
        <w:rPr>
          <w:b w:val="false"/>
          <w:bCs w:val="false"/>
          <w:u w:val="none"/>
        </w:rPr>
        <w:t xml:space="preserve">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отражаются расходы:</w:t>
      </w:r>
    </w:p>
    <w:p>
      <w:pPr>
        <w:pStyle w:val="BodyTextIndent"/>
        <w:tabs>
          <w:tab w:val="clear" w:pos="708"/>
          <w:tab w:val="left" w:pos="567" w:leader="none"/>
          <w:tab w:val="left" w:pos="993" w:leader="none"/>
        </w:tabs>
        <w:spacing w:lineRule="auto" w:line="276"/>
        <w:ind w:hanging="0"/>
        <w:jc w:val="both"/>
        <w:rPr/>
      </w:pPr>
      <w:r>
        <w:rPr/>
        <w:t xml:space="preserve"> </w:t>
      </w:r>
      <w:r>
        <w:rPr/>
        <w:t>1. Топливно-энергетический комплекс: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 </w:t>
      </w:r>
      <w:r>
        <w:rPr/>
        <w:t>План – 123 576 200,00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– 41 575 742,15 руб.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  <w:t xml:space="preserve">          </w:t>
      </w:r>
      <w:r>
        <w:rPr/>
        <w:t>Исполнение – 33,6 %</w:t>
      </w:r>
    </w:p>
    <w:p>
      <w:pPr>
        <w:pStyle w:val="BodyTextIndent"/>
        <w:tabs>
          <w:tab w:val="clear" w:pos="708"/>
          <w:tab w:val="left" w:pos="567" w:leader="none"/>
          <w:tab w:val="left" w:pos="993" w:leader="none"/>
        </w:tabs>
        <w:spacing w:lineRule="auto" w:line="276"/>
        <w:ind w:hanging="0"/>
        <w:jc w:val="both"/>
        <w:rPr/>
      </w:pPr>
      <w:r>
        <w:rPr/>
        <w:t>2. Дорожное хозяйство (дорожные фонды):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 </w:t>
      </w:r>
      <w:r>
        <w:rPr/>
        <w:t>План – 63 745 147,02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– 5 790 132,33 руб.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  <w:t xml:space="preserve">          </w:t>
      </w:r>
      <w:r>
        <w:rPr/>
        <w:t>Исполнение – 9,1 %</w:t>
      </w:r>
    </w:p>
    <w:p>
      <w:pPr>
        <w:pStyle w:val="BodyTextIndent"/>
        <w:tabs>
          <w:tab w:val="clear" w:pos="708"/>
          <w:tab w:val="left" w:pos="567" w:leader="none"/>
          <w:tab w:val="left" w:pos="993" w:leader="none"/>
        </w:tabs>
        <w:spacing w:lineRule="auto" w:line="276"/>
        <w:ind w:hanging="0"/>
        <w:jc w:val="both"/>
        <w:rPr/>
      </w:pPr>
      <w:r>
        <w:rPr/>
        <w:t>3. Другие вопросы в области национальной экономики (техническая инвентаризация, паспортизация объектов, межевание земельных участков,   карстовые работы):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 </w:t>
      </w:r>
      <w:r>
        <w:rPr/>
        <w:t>План – 855 000,00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– 0,00 руб.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  <w:t xml:space="preserve">          </w:t>
      </w:r>
      <w:r>
        <w:rPr/>
        <w:t>Исполнение – 0 %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</w:t>
      </w:r>
      <w:r>
        <w:rPr/>
        <w:t xml:space="preserve">Всего расходов по данному разделу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188 176 347,02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   </w:t>
      </w:r>
      <w:r>
        <w:rPr/>
        <w:t>исполнено –  47 365 874,48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</w:t>
      </w:r>
      <w:r>
        <w:rPr/>
        <w:t>исполнение составило 25,2 %</w:t>
      </w:r>
    </w:p>
    <w:p>
      <w:pPr>
        <w:pStyle w:val="BodyTextIndent"/>
        <w:spacing w:lineRule="auto" w:line="276"/>
        <w:ind w:hanging="0" w:left="928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BodyTextIndent"/>
        <w:spacing w:lineRule="auto" w:line="276"/>
        <w:ind w:hanging="0" w:left="928"/>
        <w:jc w:val="both"/>
        <w:rPr/>
      </w:pPr>
      <w:r>
        <w:rPr>
          <w:b/>
          <w:u w:val="single"/>
        </w:rPr>
        <w:t>Жилищно – коммунальное хозяйство</w:t>
      </w:r>
      <w:r>
        <w:rPr/>
        <w:t xml:space="preserve">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отражаются расходы:</w:t>
      </w:r>
    </w:p>
    <w:p>
      <w:pPr>
        <w:pStyle w:val="BodyTextIndent"/>
        <w:spacing w:lineRule="auto" w:line="276"/>
        <w:ind w:hanging="0"/>
        <w:jc w:val="both"/>
        <w:rPr/>
      </w:pPr>
      <w:r>
        <w:rPr>
          <w:color w:themeColor="dark1" w:val="000000"/>
        </w:rPr>
        <w:t>1.</w:t>
      </w:r>
      <w:r>
        <w:rPr/>
        <w:t xml:space="preserve">  </w:t>
      </w:r>
      <w:r>
        <w:rPr>
          <w:color w:themeColor="dark1" w:val="000000"/>
        </w:rPr>
        <w:t>Жилищное хозяйство</w:t>
      </w:r>
      <w:r>
        <w:rPr/>
        <w:t>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</w:t>
      </w:r>
      <w:r>
        <w:rPr/>
        <w:t>План – 5 343 507,65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-  750 042,39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    </w:t>
      </w:r>
      <w:r>
        <w:rPr/>
        <w:t>Исполнение – 14%</w:t>
      </w:r>
    </w:p>
    <w:p>
      <w:pPr>
        <w:pStyle w:val="BodyTextIndent"/>
        <w:spacing w:lineRule="auto" w:line="276"/>
        <w:ind w:hanging="0"/>
        <w:jc w:val="both"/>
        <w:rPr/>
      </w:pPr>
      <w:r>
        <w:rPr>
          <w:color w:themeColor="dark1" w:val="000000"/>
        </w:rPr>
        <w:t>2.  Коммунальное хозяйство</w:t>
      </w:r>
      <w:r>
        <w:rPr/>
        <w:t>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</w:t>
      </w:r>
      <w:r>
        <w:rPr/>
        <w:t>План – 26 338 961,72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-  6 749 950,37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    </w:t>
      </w:r>
      <w:r>
        <w:rPr/>
        <w:t>Исполнение – 25,6 %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>3.  Благоустройство: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План – 47 157 735,11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-  4 129 496,25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         </w:t>
      </w:r>
      <w:r>
        <w:rPr/>
        <w:t>Исполнение – 8,8 %</w:t>
      </w:r>
    </w:p>
    <w:p>
      <w:pPr>
        <w:pStyle w:val="BodyTextIndent"/>
        <w:spacing w:lineRule="auto" w:line="276"/>
        <w:ind w:hanging="0"/>
        <w:jc w:val="both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Всего расходов по данному разделу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78 840 204,48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   </w:t>
      </w:r>
      <w:r>
        <w:rPr/>
        <w:t>исполнено – 11 629 489,01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           </w:t>
      </w:r>
      <w:r>
        <w:rPr/>
        <w:t>исполнение составило  14,8 %</w:t>
      </w:r>
    </w:p>
    <w:p>
      <w:pPr>
        <w:pStyle w:val="BodyTextIndent"/>
        <w:spacing w:lineRule="auto" w:line="276"/>
        <w:ind w:hanging="0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Охрана окружающей среды</w:t>
      </w:r>
      <w:r>
        <w:rPr>
          <w:u w:val="none"/>
        </w:rPr>
        <w:t xml:space="preserve">    </w:t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>
          <w:b w:val="false"/>
          <w:u w:val="none"/>
        </w:rPr>
        <w:t xml:space="preserve">        </w:t>
      </w:r>
      <w:r>
        <w:rPr>
          <w:b w:val="false"/>
          <w:u w:val="none"/>
        </w:rPr>
        <w:t>По данному разделу предусмотрена разработка проектной документации для рекультивации земельных участков, на которых расположена свалка, при плане — 236 000,00 руб., расходы  за первый квартал 2025 год не производились.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"/>
        <w:spacing w:lineRule="auto" w:line="276"/>
        <w:ind w:hanging="0"/>
        <w:jc w:val="both"/>
        <w:rPr>
          <w:b/>
          <w:u w:val="single"/>
        </w:rPr>
      </w:pPr>
      <w:r>
        <w:rPr>
          <w:b/>
          <w:u w:val="single"/>
        </w:rPr>
        <w:t>Образование</w:t>
      </w:r>
    </w:p>
    <w:p>
      <w:pPr>
        <w:pStyle w:val="BodyTextIndent"/>
        <w:spacing w:lineRule="auto" w:line="276"/>
        <w:jc w:val="both"/>
        <w:rPr>
          <w:u w:val="single"/>
        </w:rPr>
      </w:pPr>
      <w:r>
        <w:rPr/>
        <w:t> 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>В структуру отрасли входят: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1. Дошкольное образование: </w:t>
      </w:r>
    </w:p>
    <w:p>
      <w:pPr>
        <w:pStyle w:val="BodyTextIndent"/>
        <w:ind w:hanging="0"/>
        <w:jc w:val="both"/>
        <w:rPr/>
      </w:pPr>
      <w:r>
        <w:rPr/>
        <w:t xml:space="preserve">        </w:t>
      </w:r>
      <w:r>
        <w:rPr/>
        <w:t>Уточненный план – 221 662 711,59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 </w:t>
      </w:r>
      <w:r>
        <w:rPr/>
        <w:t>Исполнено – 57 527 177,61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составило 26 %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2. Общее образование: 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Уточненный план – 441 344 744,78 руб.</w:t>
      </w:r>
    </w:p>
    <w:p>
      <w:pPr>
        <w:pStyle w:val="BodyTextIndent"/>
        <w:tabs>
          <w:tab w:val="clear" w:pos="708"/>
          <w:tab w:val="left" w:pos="5475" w:leader="none"/>
        </w:tabs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Исполнено – 140 454 980,79 руб.</w:t>
        <w:tab/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составило 31,8 %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3.  Дополнительное образование детей: </w:t>
      </w:r>
    </w:p>
    <w:p>
      <w:pPr>
        <w:pStyle w:val="BodyTextIndent"/>
        <w:ind w:hanging="0"/>
        <w:jc w:val="both"/>
        <w:rPr/>
      </w:pPr>
      <w:r>
        <w:rPr/>
        <w:t xml:space="preserve">        </w:t>
      </w:r>
      <w:r>
        <w:rPr/>
        <w:t>Уточненный план – 91 864 828,00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 </w:t>
      </w:r>
      <w:r>
        <w:rPr/>
        <w:t>Исполнено – 26 727 971,61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 составило 29,1 %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4.  Профессиональная подготовка, переподготовка и повышение квалификации: </w:t>
      </w:r>
    </w:p>
    <w:p>
      <w:pPr>
        <w:pStyle w:val="BodyTextIndent"/>
        <w:ind w:hanging="0"/>
        <w:jc w:val="both"/>
        <w:rPr/>
      </w:pPr>
      <w:r>
        <w:rPr/>
        <w:t xml:space="preserve">        </w:t>
      </w:r>
      <w:r>
        <w:rPr/>
        <w:t>Уточненный план – 23 000,00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 </w:t>
      </w:r>
      <w:r>
        <w:rPr/>
        <w:t>Исполнено – 1 090,41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 составило 4,7 %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5. Молодежная политика: </w:t>
      </w:r>
    </w:p>
    <w:p>
      <w:pPr>
        <w:pStyle w:val="BodyTextIndent"/>
        <w:ind w:hanging="0"/>
        <w:jc w:val="both"/>
        <w:rPr/>
      </w:pPr>
      <w:r>
        <w:rPr/>
        <w:t xml:space="preserve">      </w:t>
      </w:r>
      <w:r>
        <w:rPr/>
        <w:t>Уточненный план – 223 000,00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Исполнено – 0,00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Исполнение  0 %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6. Другие вопросы в области образования (деятельность ОМС, опеки, централизованной бухгалтерии, РДДМ, летний отдых): </w:t>
      </w:r>
    </w:p>
    <w:p>
      <w:pPr>
        <w:pStyle w:val="BodyTextIndent"/>
        <w:ind w:hanging="0"/>
        <w:jc w:val="both"/>
        <w:rPr/>
      </w:pPr>
      <w:r>
        <w:rPr/>
        <w:t xml:space="preserve">      </w:t>
      </w:r>
      <w:r>
        <w:rPr/>
        <w:t>Уточненный план – 50 551 561,76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Исполнено – 13 267 648,58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Исполнение  26,2 %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 xml:space="preserve">Всего расходов по отрасли образования проведено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805 669 846,13 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</w:t>
      </w:r>
      <w:r>
        <w:rPr/>
        <w:t>исполнено –   237 978 869,00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   </w:t>
      </w:r>
      <w:r>
        <w:rPr/>
        <w:t>исполнение составило 29,5 %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     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  <w:t xml:space="preserve">Культура,  кинематография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jc w:val="both"/>
        <w:rPr/>
      </w:pPr>
      <w:r>
        <w:rPr/>
        <w:t>В структуру данной отрасли входят: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 </w:t>
      </w:r>
      <w:r>
        <w:rPr/>
        <w:t>1. Культура: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161 529 894,01 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53 316 418,50 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33 %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>2. Другие вопросы в области культуры, кинематографии (деятельность ОМС, ЦБТО):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64 505 200,00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18 998 992,58 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29,5 %</w:t>
      </w:r>
    </w:p>
    <w:p>
      <w:pPr>
        <w:pStyle w:val="BodyTextIndent"/>
        <w:spacing w:lineRule="auto" w:line="276"/>
        <w:ind w:hanging="0" w:left="72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</w:t>
      </w:r>
      <w:r>
        <w:rPr/>
        <w:t xml:space="preserve">Всего расходов по отрасли культура проведено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– 226 035 094,01 руб.</w:t>
      </w:r>
    </w:p>
    <w:p>
      <w:pPr>
        <w:pStyle w:val="BodyTextIndent"/>
        <w:tabs>
          <w:tab w:val="clear" w:pos="708"/>
          <w:tab w:val="left" w:pos="709" w:leader="none"/>
          <w:tab w:val="left" w:pos="851" w:leader="none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   </w:t>
      </w:r>
      <w:r>
        <w:rPr/>
        <w:t>факт – 72 315 411,08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</w:t>
      </w:r>
      <w:r>
        <w:rPr/>
        <w:t>Исполнение составило – 32 %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>
          <w:b/>
          <w:u w:val="single"/>
        </w:rPr>
        <w:t>Социальная политика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jc w:val="both"/>
        <w:rPr/>
      </w:pPr>
      <w:r>
        <w:rPr/>
        <w:t>В структуру данной отрасли входят: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 </w:t>
      </w:r>
      <w:r>
        <w:rPr/>
        <w:t>1. Пенсионное обеспечение: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6 545 000,00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2 979 320,25 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45,5 %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>2. Социальное обслуживание населения: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101 951 976,00 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22 123 725,01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21,7 %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>3. Социальное обеспечение населения: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15 209 600,00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3 511 498,07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23,1 %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4. Охрана семьи и детства: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97 909 145,76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9 021 693,07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9,2 %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5. Другие вопросы в области социальной политики (деятельность ОМС, система долговременного ухода за гражданами пожилого возраста):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23 928 000,00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6 701 181,27 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28 %</w:t>
      </w:r>
    </w:p>
    <w:p>
      <w:pPr>
        <w:pStyle w:val="BodyTextIndent"/>
        <w:tabs>
          <w:tab w:val="clear" w:pos="708"/>
          <w:tab w:val="left" w:pos="42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42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</w:t>
      </w:r>
      <w:r>
        <w:rPr/>
        <w:t xml:space="preserve">Всего по отрасли социальной политики проведено расходов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</w:t>
      </w:r>
      <w:r>
        <w:rPr/>
        <w:t>при  уточненном плане – 245 543 721,76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</w:t>
      </w:r>
      <w:r>
        <w:rPr/>
        <w:t>исполнено – 44 337 417,67 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</w:t>
      </w:r>
      <w:r>
        <w:rPr/>
        <w:t>Исполнение по расходам составило – 18,1 %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  <w:t>Физическая культура и спорт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ind w:hanging="0"/>
        <w:rPr/>
      </w:pPr>
      <w:r>
        <w:rPr>
          <w:u w:val="single"/>
        </w:rPr>
        <w:t>Организация и проведение спортивных мероприятий</w:t>
      </w:r>
      <w:r>
        <w:rPr/>
        <w:t xml:space="preserve">: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ind w:hanging="0"/>
        <w:rPr/>
      </w:pPr>
      <w:r>
        <w:rPr/>
        <w:t xml:space="preserve">       </w:t>
      </w:r>
      <w:r>
        <w:rPr/>
        <w:t>Исполнение по данному разделу составило 4,1 %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при уточненном плане – 387 500,00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исполнено –  15 710,00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  <w:t>Средства массовой информации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ind w:hanging="0"/>
        <w:rPr/>
      </w:pPr>
      <w:r>
        <w:rPr>
          <w:u w:val="single"/>
        </w:rPr>
        <w:t>Редакция</w:t>
      </w:r>
      <w:r>
        <w:rPr/>
        <w:t>:  Исполнение по данному разделу составило 28,9 %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при уточненном плане – 1 715 000,00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исполнено –  495 696,11  руб.</w:t>
      </w:r>
    </w:p>
    <w:p>
      <w:pPr>
        <w:pStyle w:val="BodyTextIndent"/>
        <w:tabs>
          <w:tab w:val="clear" w:pos="708"/>
          <w:tab w:val="left" w:pos="42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42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ind w:hanging="0"/>
        <w:jc w:val="center"/>
        <w:rPr>
          <w:b/>
        </w:rPr>
      </w:pPr>
      <w:r>
        <w:rPr>
          <w:b/>
        </w:rPr>
        <w:t>Информация об исполнении муниципальных программ</w:t>
      </w:r>
    </w:p>
    <w:p>
      <w:pPr>
        <w:pStyle w:val="Normal"/>
        <w:jc w:val="both"/>
        <w:rPr>
          <w:bCs/>
          <w:sz w:val="28"/>
        </w:rPr>
      </w:pPr>
      <w:r>
        <w:rPr>
          <w:bCs/>
          <w:sz w:val="28"/>
        </w:rPr>
        <w:t xml:space="preserve">      </w:t>
      </w:r>
      <w:r>
        <w:rPr>
          <w:bCs/>
          <w:sz w:val="28"/>
        </w:rPr>
        <w:t xml:space="preserve">В 2025 году действуют 17 муниципальных программ, для 16 из них определены объемы и источники финансирования. </w:t>
      </w:r>
    </w:p>
    <w:p>
      <w:pPr>
        <w:pStyle w:val="Normal"/>
        <w:jc w:val="both"/>
        <w:rPr>
          <w:b/>
          <w:bCs/>
          <w:sz w:val="28"/>
        </w:rPr>
      </w:pPr>
      <w:r>
        <w:rPr>
          <w:bCs/>
          <w:sz w:val="28"/>
        </w:rPr>
        <w:t>За  первый квартал 2025 год исполнение по данным программам составило            453 360 348,87 руб. при плане 1 763 522 176,80 руб. или 25,7 %.</w:t>
      </w:r>
      <w:r>
        <w:rPr>
          <w:b/>
          <w:bCs/>
          <w:sz w:val="28"/>
        </w:rPr>
        <w:t xml:space="preserve">    </w:t>
      </w:r>
    </w:p>
    <w:p>
      <w:pPr>
        <w:pStyle w:val="Normal"/>
        <w:jc w:val="both"/>
        <w:rPr>
          <w:bCs/>
          <w:sz w:val="28"/>
          <w:u w:val="single"/>
        </w:rPr>
      </w:pPr>
      <w:r>
        <w:rPr>
          <w:b/>
          <w:bCs/>
          <w:sz w:val="28"/>
        </w:rPr>
        <w:t xml:space="preserve">      </w:t>
      </w:r>
      <w:r>
        <w:rPr>
          <w:bCs/>
          <w:sz w:val="28"/>
        </w:rPr>
        <w:t xml:space="preserve">Отчет о реализации муниципальных программ по видам прилагается.   </w:t>
      </w:r>
      <w:r>
        <w:rPr>
          <w:bCs/>
          <w:sz w:val="28"/>
          <w:u w:val="single"/>
        </w:rPr>
        <w:t xml:space="preserve">   </w:t>
      </w:r>
    </w:p>
    <w:p>
      <w:pPr>
        <w:pStyle w:val="BodyTextIndent"/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360" w:leader="none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состоянии муниципального долга</w:t>
      </w:r>
    </w:p>
    <w:p>
      <w:pPr>
        <w:pStyle w:val="Normal"/>
        <w:ind w:firstLine="700"/>
        <w:jc w:val="both"/>
        <w:rPr>
          <w:color w:val="000000"/>
          <w:sz w:val="28"/>
        </w:rPr>
      </w:pPr>
      <w:r>
        <w:rPr>
          <w:color w:val="000000"/>
          <w:sz w:val="28"/>
        </w:rPr>
        <w:t>Муниципальный долг Тяжинского муниципального округа по состоянию на 01.04.2025 год отсутствует.</w:t>
      </w:r>
    </w:p>
    <w:p>
      <w:pPr>
        <w:pStyle w:val="Normal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hanging="0" w:left="0"/>
        <w:rPr>
          <w:color w:val="auto"/>
        </w:rPr>
      </w:pPr>
      <w:r>
        <w:rPr>
          <w:color w:val="auto"/>
        </w:rPr>
        <w:t>Зам. главы Тяжинского муниципального</w:t>
      </w:r>
    </w:p>
    <w:p>
      <w:pPr>
        <w:pStyle w:val="Heading1"/>
        <w:spacing w:before="0" w:after="0"/>
        <w:ind w:hanging="0" w:left="0"/>
        <w:rPr>
          <w:color w:val="auto"/>
        </w:rPr>
      </w:pPr>
      <w:r>
        <w:rPr>
          <w:color w:val="auto"/>
        </w:rPr>
        <w:t>округа по финансам  - начальник управления                               О.В. Батова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567" w:gutter="0" w:header="709" w:top="1134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swiss"/>
    <w:pitch w:val="default"/>
  </w:font>
  <w:font w:name="Courier New">
    <w:charset w:val="01"/>
    <w:family w:val="auto"/>
    <w:pitch w:val="default"/>
  </w:font>
  <w:font w:name="PT Astra Serif">
    <w:charset w:val="01"/>
    <w:family w:val="roman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68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pPr>
      <w:keepNext w:val="true"/>
      <w:keepLines/>
      <w:spacing w:before="480" w:after="0"/>
      <w:outlineLvl w:val="0"/>
    </w:pPr>
    <w:rPr>
      <w:rFonts w:ascii="Cambria" w:hAnsi="Cambria" w:eastAsia="Calibri" w:cs="Tahoma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2"/>
    <w:qFormat/>
    <w:pPr>
      <w:keepNext w:val="true"/>
      <w:widowControl/>
      <w:outlineLvl w:val="1"/>
    </w:pPr>
    <w:rPr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link w:val="31"/>
    <w:qFormat/>
    <w:pPr>
      <w:keepNext w:val="true"/>
      <w:widowControl/>
      <w:tabs>
        <w:tab w:val="clear" w:pos="708"/>
        <w:tab w:val="left" w:pos="2850" w:leader="none"/>
      </w:tabs>
      <w:outlineLvl w:val="2"/>
    </w:pPr>
    <w:rPr>
      <w:sz w:val="28"/>
      <w:szCs w:val="24"/>
    </w:rPr>
  </w:style>
  <w:style w:type="paragraph" w:styleId="Heading4">
    <w:name w:val="heading 4"/>
    <w:basedOn w:val="Normal"/>
    <w:next w:val="Normal"/>
    <w:link w:val="4"/>
    <w:qFormat/>
    <w:pPr>
      <w:keepNext w:val="true"/>
      <w:widowControl/>
      <w:jc w:val="right"/>
      <w:outlineLvl w:val="3"/>
    </w:pPr>
    <w:rPr>
      <w:sz w:val="28"/>
      <w:szCs w:val="24"/>
    </w:rPr>
  </w:style>
  <w:style w:type="character" w:styleId="DefaultParagraphFont">
    <w:name w:val="Default Paragraph Font"/>
    <w:qFormat/>
    <w:rPr/>
  </w:style>
  <w:style w:type="character" w:styleId="2">
    <w:name w:val="Заголовок 2 Знак"/>
    <w:basedOn w:val="DefaultParagraphFont"/>
    <w:qFormat/>
    <w:rPr>
      <w:rFonts w:ascii="Times New Roman" w:hAnsi="Times New Roman" w:eastAsia="Times New Roman" w:cs="Times New Roman"/>
      <w:b/>
      <w:bCs/>
      <w:sz w:val="28"/>
      <w:szCs w:val="28"/>
      <w:u w:val="single"/>
      <w:lang w:eastAsia="ru-RU"/>
    </w:rPr>
  </w:style>
  <w:style w:type="character" w:styleId="Style10">
    <w:name w:val="Основной текст с отступом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1">
    <w:name w:val="Текст выноски Знак"/>
    <w:basedOn w:val="DefaultParagraphFont"/>
    <w:link w:val="BalloonText"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1">
    <w:name w:val="Заголовок 1 Знак"/>
    <w:basedOn w:val="DefaultParagraphFont"/>
    <w:qFormat/>
    <w:rPr>
      <w:rFonts w:ascii="Cambria" w:hAnsi="Cambria" w:eastAsia="Calibri" w:cs="Tahoma"/>
      <w:b/>
      <w:bCs/>
      <w:color w:themeColor="accent1" w:themeShade="bf" w:val="365F91"/>
      <w:sz w:val="28"/>
      <w:szCs w:val="28"/>
      <w:lang w:eastAsia="ru-RU"/>
    </w:rPr>
  </w:style>
  <w:style w:type="character" w:styleId="Style12">
    <w:name w:val="Название Знак"/>
    <w:basedOn w:val="DefaultParagraphFont"/>
    <w:qFormat/>
    <w:rPr>
      <w:rFonts w:ascii="Times New Roman" w:hAnsi="Times New Roman" w:eastAsia="Times New Roman" w:cs="Times New Roman"/>
      <w:b/>
      <w:bCs/>
      <w:sz w:val="28"/>
      <w:szCs w:val="20"/>
      <w:lang w:eastAsia="ru-RU"/>
    </w:rPr>
  </w:style>
  <w:style w:type="character" w:styleId="3">
    <w:name w:val="Основной текст с отступом 3 Знак"/>
    <w:basedOn w:val="DefaultParagraphFont"/>
    <w:link w:val="BodyTextIndent3"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21">
    <w:name w:val="Основной текст с отступом 2 Знак"/>
    <w:basedOn w:val="DefaultParagraphFont"/>
    <w:link w:val="BodyTextIndent2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>
    <w:name w:val="Верх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>
    <w:name w:val="Ниж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1">
    <w:name w:val="Заголовок 3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4">
    <w:name w:val="Заголовок 4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22">
    <w:name w:val="Основной текст 2 Знак"/>
    <w:basedOn w:val="DefaultParagraphFont"/>
    <w:link w:val="BodyText2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Основной текст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rPr/>
  </w:style>
  <w:style w:type="character" w:styleId="Style16">
    <w:name w:val="Подзаголовок Знак"/>
    <w:basedOn w:val="DefaultParagraphFont"/>
    <w:qFormat/>
    <w:rPr>
      <w:rFonts w:ascii="Times New Roman" w:hAnsi="Times New Roman" w:eastAsia="Times New Roman" w:cs="Times New Roman"/>
      <w:sz w:val="28"/>
      <w:szCs w:val="24"/>
      <w:u w:val="single"/>
      <w:lang w:eastAsia="ru-RU"/>
    </w:rPr>
  </w:style>
  <w:style w:type="character" w:styleId="Hyperlink">
    <w:name w:val="Hyperlink"/>
    <w:rPr>
      <w:color w:val="0000FF"/>
      <w:u w:val="single"/>
    </w:rPr>
  </w:style>
  <w:style w:type="character" w:styleId="Style17">
    <w:name w:val="Текст Знак"/>
    <w:basedOn w:val="DefaultParagraphFont"/>
    <w:link w:val="PlainText"/>
    <w:qFormat/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link w:val="Style15"/>
    <w:pPr>
      <w:widowControl/>
      <w:spacing w:before="0" w:after="120"/>
    </w:pPr>
    <w:rPr>
      <w:sz w:val="24"/>
      <w:szCs w:val="24"/>
    </w:rPr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BodyTextIndent">
    <w:name w:val="Body Text Indent"/>
    <w:basedOn w:val="Normal"/>
    <w:link w:val="Style10"/>
    <w:pPr>
      <w:widowControl/>
      <w:ind w:firstLine="720"/>
    </w:pPr>
    <w:rPr>
      <w:sz w:val="28"/>
      <w:szCs w:val="24"/>
    </w:rPr>
  </w:style>
  <w:style w:type="paragraph" w:styleId="Style20">
    <w:name w:val="Знак"/>
    <w:basedOn w:val="Normal"/>
    <w:qFormat/>
    <w:pPr>
      <w:spacing w:lineRule="exact" w:line="240" w:before="0" w:after="160"/>
      <w:jc w:val="right"/>
    </w:pPr>
    <w:rPr>
      <w:lang w:val="en-GB" w:eastAsia="en-US"/>
    </w:rPr>
  </w:style>
  <w:style w:type="paragraph" w:styleId="BalloonText">
    <w:name w:val="Balloon Text"/>
    <w:basedOn w:val="Normal"/>
    <w:link w:val="Style11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widowControl/>
      <w:spacing w:before="0" w:after="0"/>
      <w:ind w:left="720"/>
      <w:contextualSpacing/>
    </w:pPr>
    <w:rPr>
      <w:sz w:val="24"/>
      <w:szCs w:val="24"/>
    </w:rPr>
  </w:style>
  <w:style w:type="paragraph" w:styleId="Title">
    <w:name w:val="Title"/>
    <w:basedOn w:val="Normal"/>
    <w:link w:val="Style12"/>
    <w:qFormat/>
    <w:pPr>
      <w:widowControl/>
      <w:jc w:val="center"/>
    </w:pPr>
    <w:rPr>
      <w:b/>
      <w:bCs/>
      <w:sz w:val="28"/>
    </w:rPr>
  </w:style>
  <w:style w:type="paragraph" w:styleId="Style21">
    <w:name w:val="Знак Знак Знак Знак Знак Знак Знак"/>
    <w:basedOn w:val="Normal"/>
    <w:qFormat/>
    <w:pPr>
      <w:spacing w:lineRule="exact" w:line="240" w:before="0" w:after="160"/>
      <w:jc w:val="right"/>
    </w:pPr>
    <w:rPr>
      <w:lang w:val="en-GB" w:eastAsia="en-US"/>
    </w:rPr>
  </w:style>
  <w:style w:type="paragraph" w:styleId="BodyTextIndent3">
    <w:name w:val="Body Text Indent 3"/>
    <w:basedOn w:val="Normal"/>
    <w:link w:val="3"/>
    <w:qFormat/>
    <w:pPr>
      <w:widowControl/>
      <w:spacing w:before="0" w:after="120"/>
      <w:ind w:left="283"/>
    </w:pPr>
    <w:rPr>
      <w:sz w:val="16"/>
      <w:szCs w:val="16"/>
    </w:rPr>
  </w:style>
  <w:style w:type="paragraph" w:styleId="BodyTextIndent2">
    <w:name w:val="Body Text Indent 2"/>
    <w:basedOn w:val="Normal"/>
    <w:link w:val="21"/>
    <w:qFormat/>
    <w:pPr>
      <w:spacing w:lineRule="auto" w:line="480" w:before="0" w:after="120"/>
      <w:ind w:left="283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2">
    <w:name w:val="Body Text 2"/>
    <w:basedOn w:val="Normal"/>
    <w:link w:val="22"/>
    <w:qFormat/>
    <w:pPr>
      <w:widowControl/>
      <w:spacing w:lineRule="auto" w:line="480" w:before="0" w:after="120"/>
    </w:pPr>
    <w:rPr>
      <w:sz w:val="24"/>
      <w:szCs w:val="24"/>
    </w:rPr>
  </w:style>
  <w:style w:type="paragraph" w:styleId="Subtitle">
    <w:name w:val="Subtitle"/>
    <w:basedOn w:val="Normal"/>
    <w:link w:val="Style16"/>
    <w:qFormat/>
    <w:pPr>
      <w:widowControl/>
      <w:jc w:val="center"/>
    </w:pPr>
    <w:rPr>
      <w:sz w:val="28"/>
      <w:szCs w:val="24"/>
      <w:u w:val="single"/>
    </w:rPr>
  </w:style>
  <w:style w:type="paragraph" w:styleId="PlainText">
    <w:name w:val="Plain Text"/>
    <w:basedOn w:val="Normal"/>
    <w:link w:val="Style17"/>
    <w:qFormat/>
    <w:pPr>
      <w:widowControl/>
    </w:pPr>
    <w:rPr>
      <w:rFonts w:ascii="Courier New" w:hAnsi="Courier New"/>
    </w:rPr>
  </w:style>
  <w:style w:type="paragraph" w:styleId="Style22">
    <w:name w:val="Знак Знак Знак Знак"/>
    <w:basedOn w:val="Normal"/>
    <w:qFormat/>
    <w:pPr>
      <w:widowControl/>
      <w:spacing w:lineRule="exact" w:line="240" w:before="0" w:after="160"/>
    </w:pPr>
    <w:rPr>
      <w:rFonts w:ascii="Verdana" w:hAnsi="Verdana"/>
      <w:lang w:val="en-US" w:eastAsia="en-US"/>
    </w:rPr>
  </w:style>
  <w:style w:type="paragraph" w:styleId="ConsPlusNormal">
    <w:name w:val="ConsPlusNormal"/>
    <w:qFormat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numbering" w:styleId="Style24">
    <w:name w:val="Без списка"/>
    <w:qFormat/>
  </w:style>
  <w:style w:type="numbering" w:styleId="11">
    <w:name w:val="Нет списка1"/>
    <w:qFormat/>
  </w:style>
  <w:style w:type="numbering" w:styleId="23">
    <w:name w:val="Нет списка2"/>
    <w:qFormat/>
  </w:style>
  <w:style w:type="numbering" w:styleId="32">
    <w:name w:val="Нет списка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6781</TotalTime>
  <Application>LibreOffice/24.8.4.2$Linux_X86_64 LibreOffice_project/480$Build-2</Application>
  <AppVersion>15.0000</AppVersion>
  <Pages>7</Pages>
  <Words>1635</Words>
  <Characters>9351</Characters>
  <CharactersWithSpaces>11845</CharactersWithSpaces>
  <Paragraphs>258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2019-04-23T04:33:00Z</dcterms:created>
  <dc:creator>Специалист 1. бюджетного отдела</dc:creator>
  <dc:description/>
  <dc:language>ru-RU</dc:language>
  <cp:lastModifiedBy/>
  <cp:lastPrinted>2025-04-14T14:29:41Z</cp:lastPrinted>
  <dcterms:modified xsi:type="dcterms:W3CDTF">2025-04-14T14:29:47Z</dcterms:modified>
  <cp:revision>255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